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4"/>
      </w:pPr>
      <w:r>
        <w:t xml:space="preserve">ФЕДЕРАЛЬНОЕ КАЗНАЧЕЙСТВО (КАЗНАЧЕЙСТВО РОССИИ</w:t>
      </w:r>
      <w:r>
        <w:t xml:space="preserve">)</w:t>
      </w:r>
      <w:r/>
    </w:p>
    <w:p>
      <w:r/>
      <w:r/>
    </w:p>
    <w:p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553"/>
        </w:trPr>
        <w:tc>
          <w:tcPr>
            <w:tcW w:w="4360" w:type="dxa"/>
            <w:textDirection w:val="lrTb"/>
            <w:noWrap w:val="false"/>
          </w:tcPr>
          <w:p>
            <w:pPr>
              <w:pStyle w:val="996"/>
            </w:pPr>
            <w:r>
              <w:t xml:space="preserve">УТВЕРЖДАЮ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96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67"/>
            </w:pPr>
            <w:r>
              <w:t xml:space="preserve">От Федерального казначейства</w:t>
            </w:r>
            <w:r/>
          </w:p>
          <w:p>
            <w:pPr>
              <w:pStyle w:val="967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6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7"/>
              <w:rPr>
                <w:rStyle w:val="989"/>
              </w:rPr>
            </w:pPr>
            <w:r/>
            <w:r>
              <w:rPr>
                <w:rStyle w:val="989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7"/>
              <w:rPr>
                <w:rStyle w:val="989"/>
              </w:rPr>
            </w:pPr>
            <w:r/>
            <w:r>
              <w:rPr>
                <w:rStyle w:val="989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7"/>
            </w:pPr>
            <w:r>
              <w:rPr>
                <w:rStyle w:val="989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7"/>
            </w:pPr>
            <w:r>
              <w:t xml:space="preserve">«</w:t>
            </w:r>
            <w:r>
              <w:rPr>
                <w:rStyle w:val="989"/>
              </w:rPr>
              <w:t xml:space="preserve">         </w:t>
            </w:r>
            <w:r>
              <w:t xml:space="preserve">»</w:t>
            </w:r>
            <w:r>
              <w:rPr>
                <w:rStyle w:val="989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89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</w:tr>
    </w:tbl>
    <w:p>
      <w:pPr>
        <w:pStyle w:val="962"/>
      </w:pPr>
      <w:r/>
      <w:r/>
    </w:p>
    <w:p>
      <w:pPr>
        <w:pStyle w:val="962"/>
      </w:pPr>
      <w:r/>
      <w:r/>
    </w:p>
    <w:p>
      <w:pPr>
        <w:pStyle w:val="975"/>
      </w:pPr>
      <w:r>
        <w:t xml:space="preserve">Наименование информационной системы</w:t>
      </w:r>
      <w:r/>
    </w:p>
    <w:p>
      <w:pPr>
        <w:pStyle w:val="958"/>
      </w:pPr>
      <w:r/>
      <w:r/>
    </w:p>
    <w:p>
      <w:pPr>
        <w:pStyle w:val="976"/>
      </w:pPr>
      <w:r>
        <w:t xml:space="preserve">Пояснительная записка к техническому проекту</w:t>
      </w:r>
      <w:r/>
    </w:p>
    <w:p>
      <w:pPr>
        <w:pStyle w:val="958"/>
      </w:pPr>
      <w:r/>
      <w:r/>
    </w:p>
    <w:p>
      <w:pPr>
        <w:pStyle w:val="976"/>
      </w:pPr>
      <w:r>
        <w:t xml:space="preserve">Лист утверждения</w:t>
      </w:r>
      <w:r/>
    </w:p>
    <w:p>
      <w:pPr>
        <w:pStyle w:val="958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987"/>
        </w:rPr>
        <w:t xml:space="preserve">П</w:t>
      </w:r>
      <w:r>
        <w:rPr>
          <w:rStyle w:val="987"/>
        </w:rPr>
        <w:t xml:space="preserve">2</w:t>
      </w:r>
      <w:r>
        <w:t xml:space="preserve">.DDD</w:t>
      </w:r>
      <w:r>
        <w:t xml:space="preserve">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958"/>
      </w:pPr>
      <w:r/>
      <w:r/>
    </w:p>
    <w:p>
      <w:pPr>
        <w:pStyle w:val="958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958"/>
      </w:pPr>
      <w:r/>
      <w:r/>
    </w:p>
    <w:p>
      <w:pPr>
        <w:pStyle w:val="958"/>
      </w:pPr>
      <w:r>
        <w:br/>
      </w:r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96"/>
            </w:pPr>
            <w:r>
              <w:t xml:space="preserve">СОГЛАСОВАНО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96"/>
            </w:pPr>
            <w:r>
              <w:t xml:space="preserve">СОГЛАСОВАНО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67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67"/>
            </w:pPr>
            <w:r>
              <w:t xml:space="preserve">От Организации-исполнителя</w:t>
            </w:r>
            <w:r/>
          </w:p>
          <w:p>
            <w:pPr>
              <w:pStyle w:val="96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7"/>
            </w:pPr>
            <w:r>
              <w:rPr>
                <w:rStyle w:val="989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7"/>
            </w:pPr>
            <w:r>
              <w:rPr>
                <w:rStyle w:val="989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</w:tr>
      <w:tr>
        <w:tblPrEx/>
        <w:trPr>
          <w:jc w:val="center"/>
          <w:trHeight w:val="106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7"/>
            </w:pPr>
            <w:r>
              <w:t xml:space="preserve">«</w:t>
            </w:r>
            <w:r>
              <w:rPr>
                <w:rStyle w:val="989"/>
              </w:rPr>
              <w:t xml:space="preserve">         </w:t>
            </w:r>
            <w:r>
              <w:t xml:space="preserve">»</w:t>
            </w:r>
            <w:r>
              <w:rPr>
                <w:rStyle w:val="989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89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7"/>
            </w:pPr>
            <w:r>
              <w:t xml:space="preserve">«</w:t>
            </w:r>
            <w:r>
              <w:rPr>
                <w:rStyle w:val="989"/>
              </w:rPr>
              <w:t xml:space="preserve">         </w:t>
            </w:r>
            <w:r>
              <w:t xml:space="preserve">»</w:t>
            </w:r>
            <w:r>
              <w:rPr>
                <w:rStyle w:val="989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989"/>
              </w:rPr>
              <w:t xml:space="preserve">   </w:t>
            </w:r>
            <w:r>
              <w:t xml:space="preserve">г.</w:t>
            </w:r>
            <w:r/>
          </w:p>
        </w:tc>
      </w:tr>
    </w:tbl>
    <w:p>
      <w:pPr>
        <w:pStyle w:val="958"/>
      </w:pPr>
      <w:r/>
      <w:r/>
    </w:p>
    <w:p>
      <w:pPr>
        <w:pStyle w:val="958"/>
      </w:pPr>
      <w:r/>
      <w:r/>
    </w:p>
    <w:p>
      <w:r/>
      <w:r/>
    </w:p>
    <w:p>
      <w:pPr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994"/>
      </w:pPr>
      <w:r>
        <w:t xml:space="preserve">ФЕДЕРАЛЬНОЕ КАЗНАЧЕЙСТВО (КАЗНАЧЕЙСТВО РОССИИ</w:t>
      </w:r>
      <w:r>
        <w:t xml:space="preserve">)</w:t>
      </w:r>
      <w:r/>
    </w:p>
    <w:p>
      <w:r/>
      <w:r/>
    </w:p>
    <w:p>
      <w:r/>
      <w:r/>
    </w:p>
    <w:p>
      <w:pPr>
        <w:pStyle w:val="996"/>
      </w:pPr>
      <w:r>
        <w:t xml:space="preserve">УТВЕРЖД</w:t>
      </w:r>
      <w:r>
        <w:t xml:space="preserve">ЕН</w:t>
      </w:r>
      <w:r/>
    </w:p>
    <w:p>
      <w:pPr>
        <w:pStyle w:val="962"/>
      </w:pPr>
      <w:r>
        <w:t xml:space="preserve">XXXXXXXX.AA.BB,BB.</w:t>
      </w:r>
      <w:r>
        <w:rPr>
          <w:rStyle w:val="987"/>
        </w:rPr>
        <w:t xml:space="preserve">П</w:t>
      </w:r>
      <w:r>
        <w:rPr>
          <w:rStyle w:val="987"/>
        </w:rPr>
        <w:t xml:space="preserve">2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962"/>
      </w:pPr>
      <w:r/>
      <w:r/>
    </w:p>
    <w:p>
      <w:pPr>
        <w:pStyle w:val="962"/>
      </w:pPr>
      <w:r/>
      <w:r/>
    </w:p>
    <w:p>
      <w:pPr>
        <w:pStyle w:val="962"/>
      </w:pPr>
      <w:r/>
      <w:r/>
    </w:p>
    <w:p>
      <w:pPr>
        <w:pStyle w:val="962"/>
      </w:pPr>
      <w:r/>
      <w:r/>
    </w:p>
    <w:p>
      <w:pPr>
        <w:pStyle w:val="962"/>
      </w:pPr>
      <w:r/>
      <w:r/>
    </w:p>
    <w:p>
      <w:pPr>
        <w:pStyle w:val="975"/>
      </w:pPr>
      <w:r>
        <w:t xml:space="preserve">Наименование информационной системы</w:t>
      </w:r>
      <w:r/>
    </w:p>
    <w:p>
      <w:pPr>
        <w:pStyle w:val="958"/>
      </w:pPr>
      <w:r/>
      <w:r/>
    </w:p>
    <w:p>
      <w:pPr>
        <w:pStyle w:val="976"/>
      </w:pPr>
      <w:r>
        <w:t xml:space="preserve">Пояснительная записка к техническому проекту</w:t>
      </w:r>
      <w:r/>
    </w:p>
    <w:p>
      <w:pPr>
        <w:pStyle w:val="958"/>
      </w:pPr>
      <w:r/>
      <w:r/>
    </w:p>
    <w:p>
      <w:pPr>
        <w:pStyle w:val="958"/>
      </w:pPr>
      <w:r>
        <w:t xml:space="preserve">Код документа: </w:t>
      </w:r>
      <w:r>
        <w:t xml:space="preserve">XXXXXXXX.AA.BB,BB.</w:t>
      </w:r>
      <w:r>
        <w:rPr>
          <w:rStyle w:val="987"/>
        </w:rPr>
        <w:t xml:space="preserve">П</w:t>
      </w:r>
      <w:r>
        <w:rPr>
          <w:rStyle w:val="987"/>
        </w:rPr>
        <w:t xml:space="preserve">2</w:t>
      </w:r>
      <w:r>
        <w:t xml:space="preserve">.DDD</w:t>
      </w:r>
      <w:r>
        <w:t xml:space="preserve">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r/>
    </w:p>
    <w:p>
      <w:pPr>
        <w:pStyle w:val="958"/>
      </w:pPr>
      <w:r/>
      <w:r/>
    </w:p>
    <w:p>
      <w:pPr>
        <w:pStyle w:val="958"/>
      </w:pPr>
      <w:r>
        <w:t xml:space="preserve">Листов: </w:t>
      </w:r>
      <w:r>
        <w:t xml:space="preserve">15</w:t>
      </w:r>
      <w:r/>
    </w:p>
    <w:p>
      <w:pPr>
        <w:pStyle w:val="958"/>
      </w:pPr>
      <w:r/>
      <w:r/>
    </w:p>
    <w:p>
      <w:pPr>
        <w:pStyle w:val="958"/>
      </w:pPr>
      <w:r/>
      <w:r/>
    </w:p>
    <w:p>
      <w:pPr>
        <w:pStyle w:val="958"/>
      </w:pPr>
      <w:r/>
      <w:r/>
    </w:p>
    <w:p>
      <w:pPr>
        <w:pStyle w:val="958"/>
      </w:pPr>
      <w:r/>
      <w:r/>
    </w:p>
    <w:p>
      <w:pPr>
        <w:pStyle w:val="958"/>
      </w:pPr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96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96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6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7"/>
            </w:pPr>
            <w:r/>
            <w:r/>
          </w:p>
        </w:tc>
      </w:tr>
    </w:tbl>
    <w:p>
      <w:pPr>
        <w:pStyle w:val="958"/>
      </w:pPr>
      <w:r/>
      <w:r/>
    </w:p>
    <w:p>
      <w:pPr>
        <w:pStyle w:val="958"/>
      </w:pPr>
      <w:r/>
      <w:r/>
    </w:p>
    <w:p>
      <w:pPr>
        <w:pStyle w:val="958"/>
      </w:pPr>
      <w:r/>
      <w:r/>
    </w:p>
    <w:p>
      <w:pPr>
        <w:pStyle w:val="932"/>
      </w:pPr>
      <w:r/>
      <w:bookmarkStart w:id="1" w:name="_Toc82602001"/>
      <w:r>
        <w:br w:type="page" w:clear="all"/>
      </w:r>
      <w:bookmarkEnd w:id="1"/>
      <w:r>
        <w:t xml:space="preserve">Аннотация</w:t>
      </w:r>
      <w:r/>
    </w:p>
    <w:p>
      <w:pPr>
        <w:pStyle w:val="962"/>
      </w:pPr>
      <w:r>
        <w:t xml:space="preserve">В </w:t>
      </w:r>
      <w:r>
        <w:t xml:space="preserve">настоящем документе </w:t>
      </w:r>
      <w:r>
        <w:t xml:space="preserve">приводятся требования к разработке </w:t>
      </w:r>
      <w:r>
        <w:t xml:space="preserve">документа "</w:t>
      </w:r>
      <w:r>
        <w:t xml:space="preserve">Пояснительная записка к техническому проекту</w:t>
      </w:r>
      <w:r>
        <w:t xml:space="preserve">" </w:t>
      </w:r>
      <w:r>
        <w:t xml:space="preserve">на создание </w:t>
      </w:r>
      <w:r>
        <w:t xml:space="preserve">ИС</w:t>
      </w:r>
      <w:r>
        <w:t xml:space="preserve">.</w:t>
      </w:r>
      <w:r/>
    </w:p>
    <w:p>
      <w:pPr>
        <w:pStyle w:val="962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962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962"/>
        <w:ind w:firstLine="709"/>
      </w:pPr>
      <w:r>
        <w:t xml:space="preserve">1. </w:t>
      </w:r>
      <w:r>
        <w:t xml:space="preserve">BB,BB</w:t>
      </w:r>
      <w:r>
        <w:t xml:space="preserve"> – полное наименование подсистемы ИС (компонента, модуля)</w:t>
      </w:r>
      <w:r>
        <w:t xml:space="preserve">.</w:t>
      </w:r>
      <w:r/>
    </w:p>
    <w:p>
      <w:pPr>
        <w:pStyle w:val="962"/>
        <w:ind w:firstLine="709"/>
      </w:pPr>
      <w:r>
        <w:t xml:space="preserve">Перечень области применения документа:</w:t>
      </w:r>
      <w:r/>
    </w:p>
    <w:p>
      <w:pPr>
        <w:pStyle w:val="962"/>
        <w:ind w:firstLine="709"/>
      </w:pPr>
      <w:r>
        <w:t xml:space="preserve">1.</w:t>
      </w:r>
      <w:r>
        <w:tab/>
        <w:t xml:space="preserve">F – полное наименование области применения документа</w:t>
      </w:r>
      <w:r/>
    </w:p>
    <w:p>
      <w:pPr>
        <w:pStyle w:val="962"/>
      </w:pPr>
      <w:r/>
      <w:r/>
    </w:p>
    <w:p>
      <w:pPr>
        <w:pStyle w:val="962"/>
      </w:pPr>
      <w:r/>
      <w:r/>
    </w:p>
    <w:p>
      <w:pPr>
        <w:pStyle w:val="962"/>
      </w:pPr>
      <w:r/>
      <w:r/>
    </w:p>
    <w:p>
      <w:pPr>
        <w:pStyle w:val="932"/>
      </w:pPr>
      <w:r>
        <w:br w:type="page" w:clear="all"/>
      </w:r>
      <w:r>
        <w:t xml:space="preserve">Содержание</w:t>
      </w:r>
      <w:r>
        <w:fldChar w:fldCharType="begin"/>
      </w:r>
      <w:r>
        <w:instrText xml:space="preserve"> TOC \h \z \t "Заголовок 1;1;Заголовок 2;2;Заголовок 3;3;Заголовок приложения;1" </w:instrText>
      </w:r>
      <w:r>
        <w:fldChar w:fldCharType="separate"/>
      </w:r>
      <w:r/>
    </w:p>
    <w:p>
      <w:pPr>
        <w:pStyle w:val="93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7446" w:anchor="_Toc448747446" w:history="1">
        <w:r>
          <w:t xml:space="preserve">1 Общие положения</w:t>
        </w:r>
        <w:r>
          <w:tab/>
        </w:r>
        <w:r>
          <w:fldChar w:fldCharType="begin"/>
        </w:r>
        <w:r>
          <w:instrText xml:space="preserve"> PAGEREF _Toc448747446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3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7447" w:anchor="_Toc448747447" w:history="1">
        <w:r>
          <w:t xml:space="preserve">2 Описание процесса деятельности</w:t>
        </w:r>
        <w:r>
          <w:tab/>
        </w:r>
        <w:r>
          <w:fldChar w:fldCharType="begin"/>
        </w:r>
        <w:r>
          <w:instrText xml:space="preserve"> PAGEREF _Toc448747447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3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7448" w:anchor="_Toc448747448" w:history="1">
        <w:r>
          <w:t xml:space="preserve">3 Описание автоматизируемых функций</w:t>
        </w:r>
        <w:r>
          <w:tab/>
        </w:r>
        <w:r>
          <w:fldChar w:fldCharType="begin"/>
        </w:r>
        <w:r>
          <w:instrText xml:space="preserve"> PAGEREF _Toc448747448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3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7449" w:anchor="_Toc448747449" w:history="1">
        <w:r>
          <w:t xml:space="preserve">4 Схема функциональной структуры</w:t>
        </w:r>
        <w:r>
          <w:tab/>
        </w:r>
        <w:r>
          <w:fldChar w:fldCharType="begin"/>
        </w:r>
        <w:r>
          <w:instrText xml:space="preserve"> PAGEREF _Toc448747449 \h </w:instrText>
        </w:r>
        <w:r/>
        <w:r>
          <w:fldChar w:fldCharType="separate"/>
        </w:r>
        <w:r>
          <w:t xml:space="preserve">8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3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7450" w:anchor="_Toc448747450" w:history="1">
        <w:r>
          <w:t xml:space="preserve">5 Основные технические решения</w:t>
        </w:r>
        <w:r>
          <w:tab/>
        </w:r>
        <w:r>
          <w:fldChar w:fldCharType="begin"/>
        </w:r>
        <w:r>
          <w:instrText xml:space="preserve"> PAGEREF _Toc448747450 \h </w:instrText>
        </w:r>
        <w:r/>
        <w:r>
          <w:fldChar w:fldCharType="separate"/>
        </w:r>
        <w:r>
          <w:t xml:space="preserve">9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3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7451" w:anchor="_Toc448747451" w:history="1">
        <w:r>
          <w:t xml:space="preserve">6 Проектная оценка надежности системы</w:t>
        </w:r>
        <w:r>
          <w:tab/>
        </w:r>
        <w:r>
          <w:fldChar w:fldCharType="begin"/>
        </w:r>
        <w:r>
          <w:instrText xml:space="preserve"> PAGEREF _Toc448747451 \h </w:instrText>
        </w:r>
        <w:r/>
        <w:r>
          <w:fldChar w:fldCharType="separate"/>
        </w:r>
        <w:r>
          <w:t xml:space="preserve">10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3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7452" w:anchor="_Toc448747452" w:history="1">
        <w:r>
          <w:t xml:space="preserve">7 Мероприятия по подготовке объекта автоматизации к вводу системы в действие</w:t>
        </w:r>
        <w:r>
          <w:tab/>
        </w:r>
        <w:r>
          <w:fldChar w:fldCharType="begin"/>
        </w:r>
        <w:r>
          <w:instrText xml:space="preserve"> PAGEREF _Toc448747452 \h </w:instrText>
        </w:r>
        <w:r/>
        <w:r>
          <w:fldChar w:fldCharType="separate"/>
        </w:r>
        <w:r>
          <w:t xml:space="preserve">11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3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7453" w:anchor="_Toc448747453" w:history="1">
        <w:r>
          <w:t xml:space="preserve">Приложение 1.  Рекомендации по содержанию разделов документа</w:t>
        </w:r>
        <w:r>
          <w:tab/>
        </w:r>
        <w:r>
          <w:fldChar w:fldCharType="begin"/>
        </w:r>
        <w:r>
          <w:instrText xml:space="preserve"> PAGEREF _Toc448747453 \h </w:instrText>
        </w:r>
        <w:r/>
        <w:r>
          <w:fldChar w:fldCharType="separate"/>
        </w:r>
        <w:r>
          <w:t xml:space="preserve">12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3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7454" w:anchor="_Toc448747454" w:history="1">
        <w:r>
          <w:t xml:space="preserve">1 Содержание раздела "Режимы функционирования ИС"</w:t>
        </w:r>
        <w:r>
          <w:tab/>
        </w:r>
        <w:r>
          <w:fldChar w:fldCharType="begin"/>
        </w:r>
        <w:r>
          <w:instrText xml:space="preserve"> PAGEREF _Toc448747454 \h </w:instrText>
        </w:r>
        <w:r/>
        <w:r>
          <w:fldChar w:fldCharType="separate"/>
        </w:r>
        <w:r>
          <w:t xml:space="preserve">12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r>
        <w:fldChar w:fldCharType="end"/>
      </w:r>
      <w:r/>
    </w:p>
    <w:p>
      <w:pPr>
        <w:pStyle w:val="932"/>
      </w:pPr>
      <w:r>
        <w:br w:type="page" w:clear="all"/>
      </w:r>
      <w:r>
        <w:t xml:space="preserve">Перечень таблиц</w:t>
      </w:r>
      <w:r/>
    </w:p>
    <w:p>
      <w:pPr>
        <w:pStyle w:val="962"/>
      </w:pPr>
      <w:r>
        <w:fldChar w:fldCharType="begin"/>
      </w:r>
      <w:r>
        <w:instrText xml:space="preserve"> TOC \h \z \c "Табл." </w:instrText>
      </w:r>
      <w:r>
        <w:fldChar w:fldCharType="separate"/>
      </w:r>
      <w:r>
        <w:rPr>
          <w:b/>
          <w:bCs/>
        </w:rPr>
        <w:t xml:space="preserve">Элементы списка иллюстраций не найдены.</w:t>
      </w:r>
      <w:r>
        <w:rPr>
          <w:b/>
          <w:bCs/>
        </w:rPr>
        <w:fldChar w:fldCharType="end"/>
      </w:r>
      <w:r/>
    </w:p>
    <w:p>
      <w:pPr>
        <w:pStyle w:val="932"/>
      </w:pPr>
      <w:r>
        <w:t xml:space="preserve">Перечень рисунков</w:t>
      </w:r>
      <w:r/>
    </w:p>
    <w:p>
      <w:pPr>
        <w:pStyle w:val="962"/>
      </w:pPr>
      <w:r>
        <w:fldChar w:fldCharType="begin"/>
      </w:r>
      <w:r>
        <w:instrText xml:space="preserve"> TOC \h \z \c "Рис." </w:instrText>
      </w:r>
      <w:r>
        <w:fldChar w:fldCharType="separate"/>
      </w:r>
      <w:r>
        <w:rPr>
          <w:b/>
          <w:bCs/>
        </w:rPr>
        <w:t xml:space="preserve">Элементы списка иллюстраций не найдены.</w:t>
      </w:r>
      <w:r>
        <w:rPr>
          <w:b/>
          <w:bCs/>
        </w:rPr>
        <w:fldChar w:fldCharType="end"/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32"/>
      </w:pPr>
      <w:r>
        <w:br w:type="page" w:clear="all"/>
      </w:r>
      <w:r>
        <w:t xml:space="preserve">Перечень сокращений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27"/>
        <w:gridCol w:w="6200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0" w:type="dxa"/>
            <w:vAlign w:val="center"/>
            <w:textDirection w:val="lrTb"/>
            <w:noWrap w:val="false"/>
          </w:tcPr>
          <w:p>
            <w:r>
              <w:t xml:space="preserve">Сокращение</w:t>
            </w:r>
            <w:r/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81" w:type="dxa"/>
            <w:vAlign w:val="center"/>
            <w:textDirection w:val="lrTb"/>
            <w:noWrap w:val="false"/>
          </w:tcPr>
          <w:p>
            <w:r>
              <w:t xml:space="preserve">Полное наименование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БПО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Информационная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КТС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Комплекс технических средств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ЛВС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Локальная вычислительная сеть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ПО 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pPr>
              <w:pStyle w:val="982"/>
            </w:pPr>
            <w:r>
              <w:t xml:space="preserve">Программное обеспечение информационной системы, включающее в себя </w:t>
            </w:r>
            <w:r>
              <w:t xml:space="preserve">СПО, БПО, ППО, ПО СУБД, </w:t>
            </w:r>
            <w:r>
              <w:t xml:space="preserve">сервисное, </w:t>
            </w:r>
            <w:r>
              <w:t xml:space="preserve">а также проче</w:t>
            </w:r>
            <w:r>
              <w:t xml:space="preserve">е </w:t>
            </w:r>
            <w:r>
              <w:t xml:space="preserve">ПО, необходимо</w:t>
            </w:r>
            <w:r>
              <w:t xml:space="preserve">е</w:t>
            </w:r>
            <w:r>
              <w:t xml:space="preserve"> и достаточно</w:t>
            </w:r>
            <w:r>
              <w:t xml:space="preserve">е</w:t>
            </w:r>
            <w:r>
              <w:t xml:space="preserve"> для функционирования и администрирования ИС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ПАК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Программно-аппаратный комплекс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СИО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Системы инженерного обеспечения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СКС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Структурированная кабельная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СПО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СУБД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управления базами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СХД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хранения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ТЗ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Техническое задание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ЦОД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Центр обработки данных</w:t>
            </w:r>
            <w:r/>
          </w:p>
        </w:tc>
      </w:tr>
    </w:tbl>
    <w:p>
      <w:pPr>
        <w:pStyle w:val="932"/>
      </w:pPr>
      <w:r>
        <w:t xml:space="preserve">Перечень терминов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термина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89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Определение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Коммерческое или бе</w:t>
            </w:r>
            <w:r>
              <w:t xml:space="preserve">сплатное программное обеспечение, необходимое для функционирования системы, используемое в составе систем ФК без изменения кода поставщика. Базисное ПО не решает конкретные практические задачи, а лишь обеспечивает работу ППО, предоставляя инструментарий и </w:t>
            </w:r>
            <w:r>
              <w:t xml:space="preserve">переиспользуемый</w:t>
            </w:r>
            <w:r>
              <w:t xml:space="preserve">, не привязанный к конкретным прикладным задачам функционал.</w:t>
            </w:r>
            <w:bookmarkStart w:id="3" w:name="_GoBack"/>
            <w:r/>
            <w:bookmarkEnd w:id="3"/>
            <w:r/>
            <w:r/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Информационная система 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Совокупность содержащейся </w:t>
            </w:r>
            <w:r>
              <w:t xml:space="preserve">в базах</w:t>
            </w:r>
            <w:r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  <w:r/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Программное обеспечение, предназначенное для выполнения определённых задач и рассчитанная на </w:t>
            </w:r>
            <w:r>
              <w:t xml:space="preserve">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  <w:r/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Комплекс программ, которые обесп</w:t>
            </w:r>
            <w:r>
              <w:t xml:space="preserve">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</w:t>
            </w:r>
            <w:r>
              <w:t xml:space="preserve">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  <w:r/>
          </w:p>
        </w:tc>
      </w:tr>
    </w:tbl>
    <w:p>
      <w:pPr>
        <w:pStyle w:val="907"/>
        <w:numPr>
          <w:ilvl w:val="0"/>
          <w:numId w:val="0"/>
        </w:numPr>
        <w:ind w:left="709"/>
        <w:tabs>
          <w:tab w:val="left" w:pos="708" w:leader="none"/>
        </w:tabs>
      </w:pPr>
      <w:r>
        <w:t xml:space="preserve">Перечень ссылочных документов</w:t>
      </w:r>
      <w:r/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0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0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0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0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02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02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02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02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02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02"/>
            </w:pPr>
            <w:r/>
            <w:r/>
          </w:p>
        </w:tc>
      </w:tr>
    </w:tbl>
    <w:p>
      <w:r/>
      <w:r/>
    </w:p>
    <w:p>
      <w:pPr>
        <w:pStyle w:val="907"/>
      </w:pPr>
      <w:r>
        <w:br w:type="page" w:clear="all"/>
      </w:r>
      <w:bookmarkStart w:id="5" w:name="_Ref443663558"/>
      <w:r/>
      <w:bookmarkStart w:id="6" w:name="_Toc443664188"/>
      <w:r/>
      <w:bookmarkStart w:id="7" w:name="_Toc448747446"/>
      <w:r>
        <w:t xml:space="preserve">Общие положения</w:t>
      </w:r>
      <w:bookmarkEnd w:id="5"/>
      <w:r/>
      <w:bookmarkEnd w:id="6"/>
      <w:r/>
      <w:bookmarkEnd w:id="7"/>
      <w:r/>
      <w:r/>
    </w:p>
    <w:p>
      <w:pPr>
        <w:pStyle w:val="924"/>
      </w:pPr>
      <w:r>
        <w:t xml:space="preserve">В разделе указывают: </w:t>
      </w:r>
      <w:r/>
    </w:p>
    <w:p>
      <w:pPr>
        <w:pStyle w:val="943"/>
      </w:pPr>
      <w:r>
        <w:t xml:space="preserve">наименование проектируемой </w:t>
      </w:r>
      <w:r>
        <w:t xml:space="preserve">И</w:t>
      </w:r>
      <w:r>
        <w:t xml:space="preserve">С и наименования документов, их номера и дату утверждения, на основании которых ведется проектирование </w:t>
      </w:r>
      <w:r>
        <w:t xml:space="preserve">И</w:t>
      </w:r>
      <w:r>
        <w:t xml:space="preserve">С;</w:t>
      </w:r>
      <w:r/>
    </w:p>
    <w:p>
      <w:pPr>
        <w:pStyle w:val="943"/>
      </w:pPr>
      <w:r>
        <w:t xml:space="preserve">перечень организаций, участвующих в разработке </w:t>
      </w:r>
      <w:r>
        <w:t xml:space="preserve">ИС</w:t>
      </w:r>
      <w:r>
        <w:t xml:space="preserve">, сроки выполнения стадий;</w:t>
      </w:r>
      <w:r/>
    </w:p>
    <w:p>
      <w:pPr>
        <w:pStyle w:val="943"/>
      </w:pPr>
      <w:r>
        <w:t xml:space="preserve">цели, назначение и области использования </w:t>
      </w:r>
      <w:r>
        <w:t xml:space="preserve">И</w:t>
      </w:r>
      <w:r>
        <w:t xml:space="preserve">С;</w:t>
      </w:r>
      <w:r/>
    </w:p>
    <w:p>
      <w:pPr>
        <w:pStyle w:val="943"/>
      </w:pPr>
      <w:r>
        <w:t xml:space="preserve">подтверждение соответствия проектных решений действующим нормам и правилам техники безопасности, </w:t>
      </w:r>
      <w:r>
        <w:t xml:space="preserve">пожаро</w:t>
      </w:r>
      <w:r>
        <w:t xml:space="preserve">- и взрывобезопасности и т. п.;</w:t>
      </w:r>
      <w:r/>
    </w:p>
    <w:p>
      <w:pPr>
        <w:pStyle w:val="943"/>
      </w:pPr>
      <w:r>
        <w:t xml:space="preserve">сведения об использованных при проектировании нормативно-технических документах;</w:t>
      </w:r>
      <w:r/>
    </w:p>
    <w:p>
      <w:pPr>
        <w:pStyle w:val="943"/>
      </w:pPr>
      <w:r>
        <w:t xml:space="preserve">сведения о научно-исследовательских работах, передовом опыте, изобретениях, использованных при разработке проекта;</w:t>
      </w:r>
      <w:r/>
    </w:p>
    <w:p>
      <w:pPr>
        <w:pStyle w:val="943"/>
      </w:pPr>
      <w:r>
        <w:t xml:space="preserve">очередность создания системы и объем каждой очереди.</w:t>
      </w:r>
      <w:r/>
    </w:p>
    <w:p>
      <w:pPr>
        <w:pStyle w:val="907"/>
      </w:pPr>
      <w:r/>
      <w:bookmarkStart w:id="8" w:name="_Toc443664189"/>
      <w:r/>
      <w:bookmarkStart w:id="9" w:name="_Toc448747447"/>
      <w:r>
        <w:t xml:space="preserve">О</w:t>
      </w:r>
      <w:r>
        <w:t xml:space="preserve">писание процесса деятельности</w:t>
      </w:r>
      <w:bookmarkEnd w:id="8"/>
      <w:r/>
      <w:bookmarkEnd w:id="9"/>
      <w:r/>
      <w:r/>
    </w:p>
    <w:p>
      <w:pPr>
        <w:pStyle w:val="924"/>
      </w:pPr>
      <w:r>
        <w:t xml:space="preserve">В разделе отражают</w:t>
      </w:r>
      <w:r>
        <w:t xml:space="preserve">:</w:t>
      </w:r>
      <w:r/>
    </w:p>
    <w:p>
      <w:pPr>
        <w:pStyle w:val="943"/>
      </w:pPr>
      <w:r>
        <w:t xml:space="preserve">описание объекта автоматизации, включая описание </w:t>
      </w:r>
      <w:r>
        <w:t xml:space="preserve">процедур</w:t>
      </w:r>
      <w:r>
        <w:t xml:space="preserve">/</w:t>
      </w:r>
      <w:r>
        <w:t xml:space="preserve">операций</w:t>
      </w:r>
      <w:r>
        <w:t xml:space="preserve">/</w:t>
      </w:r>
      <w:r>
        <w:t xml:space="preserve">процессов автоматизированной и неавтоматизированной деятельности</w:t>
      </w:r>
      <w:r>
        <w:t xml:space="preserve"> на объекте автоматизации ИС;</w:t>
      </w:r>
      <w:r/>
    </w:p>
    <w:p>
      <w:pPr>
        <w:pStyle w:val="943"/>
      </w:pPr>
      <w:r>
        <w:t xml:space="preserve">особенности объекта автоматизации, влияющие на проектные решения по автоматизированным функциям;</w:t>
      </w:r>
      <w:r/>
    </w:p>
    <w:p>
      <w:pPr>
        <w:pStyle w:val="943"/>
      </w:pPr>
      <w:r>
        <w:t xml:space="preserve">данные об системах, взаимосвязанных с разрабатываемой ИС, и сведения об информации, которой она должна обмениваться с абонентами и другими системами;</w:t>
      </w:r>
      <w:r/>
    </w:p>
    <w:p>
      <w:pPr>
        <w:pStyle w:val="943"/>
      </w:pPr>
      <w:r>
        <w:t xml:space="preserve">требования к организации </w:t>
      </w:r>
      <w:r>
        <w:t xml:space="preserve">деятельности</w:t>
      </w:r>
      <w:r>
        <w:t xml:space="preserve"> в условиях функционирования </w:t>
      </w:r>
      <w:r>
        <w:t xml:space="preserve">ИС</w:t>
      </w:r>
      <w:r>
        <w:t xml:space="preserve">.</w:t>
      </w:r>
      <w:r/>
    </w:p>
    <w:p>
      <w:pPr>
        <w:pStyle w:val="907"/>
      </w:pPr>
      <w:r/>
      <w:bookmarkStart w:id="10" w:name="_Toc448747448"/>
      <w:r/>
      <w:bookmarkStart w:id="11" w:name="_Toc443664190"/>
      <w:r>
        <w:t xml:space="preserve">Описание автоматизируемых функций</w:t>
      </w:r>
      <w:bookmarkEnd w:id="10"/>
      <w:r>
        <w:rPr>
          <w:rStyle w:val="949"/>
        </w:rPr>
        <w:footnoteReference w:id="2"/>
      </w:r>
      <w:r/>
    </w:p>
    <w:p>
      <w:pPr>
        <w:pStyle w:val="924"/>
      </w:pPr>
      <w:r>
        <w:t xml:space="preserve">В разделе приводят:</w:t>
      </w:r>
      <w:r/>
    </w:p>
    <w:p>
      <w:pPr>
        <w:pStyle w:val="943"/>
      </w:pPr>
      <w:r>
        <w:t xml:space="preserve">х</w:t>
      </w:r>
      <w:r>
        <w:t xml:space="preserve">арактеристик</w:t>
      </w:r>
      <w:r>
        <w:t xml:space="preserve">у</w:t>
      </w:r>
      <w:r>
        <w:t xml:space="preserve"> функциональной структуры</w:t>
      </w:r>
      <w:r>
        <w:t xml:space="preserve">:</w:t>
      </w:r>
      <w:r/>
    </w:p>
    <w:p>
      <w:pPr>
        <w:pStyle w:val="944"/>
      </w:pPr>
      <w:r>
        <w:t xml:space="preserve">перечень а</w:t>
      </w:r>
      <w:r>
        <w:t xml:space="preserve">втоматизируемы</w:t>
      </w:r>
      <w:r>
        <w:t xml:space="preserve">х</w:t>
      </w:r>
      <w:r>
        <w:t xml:space="preserve"> функци</w:t>
      </w:r>
      <w:r>
        <w:t xml:space="preserve">й (н</w:t>
      </w:r>
      <w:r>
        <w:t xml:space="preserve">аименования всех функций должны быть различны</w:t>
      </w:r>
      <w:r>
        <w:t xml:space="preserve">)</w:t>
      </w:r>
      <w:r>
        <w:t xml:space="preserve"> с указанием</w:t>
      </w:r>
      <w:r>
        <w:t xml:space="preserve">, какие из них являются критическими</w:t>
      </w:r>
      <w:r>
        <w:t xml:space="preserve">;</w:t>
      </w:r>
      <w:r/>
    </w:p>
    <w:p>
      <w:pPr>
        <w:pStyle w:val="944"/>
      </w:pPr>
      <w:r>
        <w:t xml:space="preserve">перечень </w:t>
      </w:r>
      <w:r>
        <w:t xml:space="preserve">функциональны</w:t>
      </w:r>
      <w:r>
        <w:t xml:space="preserve">х</w:t>
      </w:r>
      <w:r>
        <w:t xml:space="preserve"> област</w:t>
      </w:r>
      <w:r>
        <w:t xml:space="preserve">ей, объединяющих автоматизируемые функции </w:t>
      </w:r>
      <w:r>
        <w:t xml:space="preserve">по принципу предметной или тематической общности</w:t>
      </w:r>
      <w:r>
        <w:t xml:space="preserve"> (</w:t>
      </w:r>
      <w:r>
        <w:t xml:space="preserve">каждая функция должна входить только в одну </w:t>
      </w:r>
      <w:r>
        <w:t xml:space="preserve">функциональную область; н</w:t>
      </w:r>
      <w:r>
        <w:t xml:space="preserve">аименования всех функциональных областей должны быть различны</w:t>
      </w:r>
      <w:r>
        <w:t xml:space="preserve">)</w:t>
      </w:r>
      <w:r>
        <w:t xml:space="preserve">;</w:t>
      </w:r>
      <w:r/>
    </w:p>
    <w:p>
      <w:pPr>
        <w:pStyle w:val="944"/>
      </w:pPr>
      <w:r>
        <w:t xml:space="preserve">перечень структурных модулей</w:t>
      </w:r>
      <w:r>
        <w:t xml:space="preserve"> (</w:t>
      </w:r>
      <w:r>
        <w:t xml:space="preserve">функциональных </w:t>
      </w:r>
      <w:r>
        <w:t xml:space="preserve">подсистем</w:t>
      </w:r>
      <w:r>
        <w:t xml:space="preserve">)</w:t>
      </w:r>
      <w:r>
        <w:t xml:space="preserve"> </w:t>
      </w:r>
      <w:r>
        <w:t xml:space="preserve">И</w:t>
      </w:r>
      <w:r>
        <w:t xml:space="preserve">С </w:t>
      </w:r>
      <w:r>
        <w:t xml:space="preserve">с указанием </w:t>
      </w:r>
      <w:r>
        <w:t xml:space="preserve">автоматизируемых </w:t>
      </w:r>
      <w:r>
        <w:t xml:space="preserve">функций, реализуемых кажд</w:t>
      </w:r>
      <w:r>
        <w:t xml:space="preserve">ым</w:t>
      </w:r>
      <w:r>
        <w:t xml:space="preserve"> </w:t>
      </w:r>
      <w:r>
        <w:t xml:space="preserve">модулем</w:t>
      </w:r>
      <w:r>
        <w:t xml:space="preserve">;</w:t>
      </w:r>
      <w:r/>
    </w:p>
    <w:p>
      <w:pPr>
        <w:pStyle w:val="944"/>
      </w:pPr>
      <w:r>
        <w:t xml:space="preserve">необходимые пояснения к разделению автоматизир</w:t>
      </w:r>
      <w:r>
        <w:t xml:space="preserve">уемых</w:t>
      </w:r>
      <w:r>
        <w:t xml:space="preserve"> функций на действия (операции), выполняемые техническими средствами и человеком;</w:t>
      </w:r>
      <w:r/>
    </w:p>
    <w:p>
      <w:pPr>
        <w:pStyle w:val="944"/>
      </w:pPr>
      <w:r>
        <w:t xml:space="preserve">требования к временному регламенту и характеристикам процесса реализации автоматизир</w:t>
      </w:r>
      <w:r>
        <w:t xml:space="preserve">уемых</w:t>
      </w:r>
      <w:r>
        <w:t xml:space="preserve"> функций (точности, надежности и т. п.)</w:t>
      </w:r>
      <w:r>
        <w:t xml:space="preserve">;</w:t>
      </w:r>
      <w:r/>
    </w:p>
    <w:p>
      <w:pPr>
        <w:pStyle w:val="944"/>
      </w:pPr>
      <w:r>
        <w:t xml:space="preserve">информационные связи между </w:t>
      </w:r>
      <w:r>
        <w:t xml:space="preserve">структурными модулями</w:t>
      </w:r>
      <w:r>
        <w:t xml:space="preserve"> ИС и внешней средой с кратким указанием содержания сообщений и (или) сигналов, передаваемых по связям, и при необходимости, связи других типов (входи-мости, подчинения и т. д.)</w:t>
      </w:r>
      <w:r>
        <w:t xml:space="preserve">;</w:t>
      </w:r>
      <w:r/>
    </w:p>
    <w:p>
      <w:pPr>
        <w:pStyle w:val="943"/>
      </w:pPr>
      <w:r>
        <w:t xml:space="preserve">перечень типовых решений с указанием </w:t>
      </w:r>
      <w:r>
        <w:t xml:space="preserve">автоматизируемых </w:t>
      </w:r>
      <w:r>
        <w:t xml:space="preserve">функций, для выполнения которых они применены.</w:t>
      </w:r>
      <w:r/>
    </w:p>
    <w:p>
      <w:pPr>
        <w:pStyle w:val="907"/>
      </w:pPr>
      <w:r/>
      <w:bookmarkStart w:id="12" w:name="_Toc448747449"/>
      <w:r>
        <w:t xml:space="preserve">С</w:t>
      </w:r>
      <w:r>
        <w:t xml:space="preserve">хем</w:t>
      </w:r>
      <w:r>
        <w:t xml:space="preserve">а</w:t>
      </w:r>
      <w:r>
        <w:t xml:space="preserve"> функциональной структуры</w:t>
      </w:r>
      <w:bookmarkEnd w:id="12"/>
      <w:r/>
      <w:r/>
    </w:p>
    <w:p>
      <w:pPr>
        <w:pStyle w:val="924"/>
      </w:pPr>
      <w:r>
        <w:t xml:space="preserve">С</w:t>
      </w:r>
      <w:r>
        <w:t xml:space="preserve">хем</w:t>
      </w:r>
      <w:r>
        <w:t xml:space="preserve">а</w:t>
      </w:r>
      <w:r>
        <w:t xml:space="preserve"> функциональной структуры</w:t>
      </w:r>
      <w:r>
        <w:t xml:space="preserve"> должна отображать в графическом виде следующую информацию:</w:t>
      </w:r>
      <w:r/>
    </w:p>
    <w:p>
      <w:pPr>
        <w:pStyle w:val="943"/>
      </w:pPr>
      <w:r>
        <w:t xml:space="preserve">перечень структурных модулей</w:t>
      </w:r>
      <w:r>
        <w:t xml:space="preserve"> (</w:t>
      </w:r>
      <w:r>
        <w:t xml:space="preserve">функциональных </w:t>
      </w:r>
      <w:r>
        <w:t xml:space="preserve">подсистем</w:t>
      </w:r>
      <w:r>
        <w:t xml:space="preserve">)</w:t>
      </w:r>
      <w:r>
        <w:t xml:space="preserve"> </w:t>
      </w:r>
      <w:r>
        <w:t xml:space="preserve">И</w:t>
      </w:r>
      <w:r>
        <w:t xml:space="preserve">С </w:t>
      </w:r>
      <w:r>
        <w:t xml:space="preserve">с указанием </w:t>
      </w:r>
      <w:r>
        <w:t xml:space="preserve">автоматизируемых </w:t>
      </w:r>
      <w:r>
        <w:t xml:space="preserve">функций, реализуемых кажд</w:t>
      </w:r>
      <w:r>
        <w:t xml:space="preserve">ым</w:t>
      </w:r>
      <w:r>
        <w:t xml:space="preserve"> </w:t>
      </w:r>
      <w:r>
        <w:t xml:space="preserve">модулем</w:t>
      </w:r>
      <w:r>
        <w:t xml:space="preserve">;</w:t>
      </w:r>
      <w:r/>
    </w:p>
    <w:p>
      <w:pPr>
        <w:pStyle w:val="943"/>
      </w:pPr>
      <w:r>
        <w:t xml:space="preserve">перечень </w:t>
      </w:r>
      <w:r>
        <w:t xml:space="preserve">функциональны</w:t>
      </w:r>
      <w:r>
        <w:t xml:space="preserve">х</w:t>
      </w:r>
      <w:r>
        <w:t xml:space="preserve"> област</w:t>
      </w:r>
      <w:r>
        <w:t xml:space="preserve">ей, объединяющих автоматизируемые функции;</w:t>
      </w:r>
      <w:r/>
    </w:p>
    <w:p>
      <w:pPr>
        <w:pStyle w:val="943"/>
      </w:pPr>
      <w:r>
        <w:t xml:space="preserve">разделени</w:t>
      </w:r>
      <w:r>
        <w:t xml:space="preserve">е</w:t>
      </w:r>
      <w:r>
        <w:t xml:space="preserve"> автоматизир</w:t>
      </w:r>
      <w:r>
        <w:t xml:space="preserve">уемых</w:t>
      </w:r>
      <w:r>
        <w:t xml:space="preserve"> функций на действия (операции), выполняемые техническими средствами и человеком</w:t>
      </w:r>
      <w:r/>
    </w:p>
    <w:p>
      <w:pPr>
        <w:pStyle w:val="943"/>
      </w:pPr>
      <w:r>
        <w:t xml:space="preserve">информационные связи между </w:t>
      </w:r>
      <w:r>
        <w:t xml:space="preserve">структурными модулями</w:t>
      </w:r>
      <w:r>
        <w:t xml:space="preserve"> ИС и внешней средой с кратким указанием содержания сообщений и (или) сигналов, передаваемых по связям</w:t>
      </w:r>
      <w:r>
        <w:t xml:space="preserve">;</w:t>
      </w:r>
      <w:r/>
    </w:p>
    <w:p>
      <w:pPr>
        <w:pStyle w:val="943"/>
      </w:pPr>
      <w:r>
        <w:t xml:space="preserve">детализированные схемы частей функциональной структуры (при необходимости).</w:t>
      </w:r>
      <w:r/>
    </w:p>
    <w:p>
      <w:pPr>
        <w:pStyle w:val="907"/>
      </w:pPr>
      <w:r/>
      <w:bookmarkStart w:id="13" w:name="_Toc448747450"/>
      <w:r>
        <w:t xml:space="preserve">Основные технические решения</w:t>
      </w:r>
      <w:bookmarkEnd w:id="11"/>
      <w:r/>
      <w:bookmarkEnd w:id="13"/>
      <w:r/>
      <w:r/>
    </w:p>
    <w:p>
      <w:pPr>
        <w:pStyle w:val="924"/>
      </w:pPr>
      <w:r>
        <w:t xml:space="preserve">. В разделе приводят:</w:t>
      </w:r>
      <w:r/>
    </w:p>
    <w:p>
      <w:pPr>
        <w:pStyle w:val="943"/>
      </w:pPr>
      <w:r>
        <w:t xml:space="preserve">решения по реализации </w:t>
      </w:r>
      <w:r>
        <w:t xml:space="preserve">автоматизируемых </w:t>
      </w:r>
      <w:r>
        <w:t xml:space="preserve">функций в рамках </w:t>
      </w:r>
      <w:r>
        <w:t xml:space="preserve">структурных модулей</w:t>
      </w:r>
      <w:r>
        <w:t xml:space="preserve"> (функциональных </w:t>
      </w:r>
      <w:r>
        <w:t xml:space="preserve">подсистем</w:t>
      </w:r>
      <w:r>
        <w:t xml:space="preserve">)</w:t>
      </w:r>
      <w:r>
        <w:t xml:space="preserve"> </w:t>
      </w:r>
      <w:r>
        <w:t xml:space="preserve">И</w:t>
      </w:r>
      <w:r>
        <w:t xml:space="preserve">С</w:t>
      </w:r>
      <w:r>
        <w:t xml:space="preserve">, включая способы и средства информационного обмена между компонентами системы;</w:t>
      </w:r>
      <w:r/>
    </w:p>
    <w:p>
      <w:pPr>
        <w:pStyle w:val="943"/>
      </w:pPr>
      <w:r>
        <w:t xml:space="preserve">решения по взаимосвязям </w:t>
      </w:r>
      <w:r>
        <w:t xml:space="preserve">ИС</w:t>
      </w:r>
      <w:r>
        <w:t xml:space="preserve"> со смежными системами, обеспечению ее совместимости</w:t>
      </w:r>
      <w:r>
        <w:t xml:space="preserve">, с указанием протоколов/форматов обмена данными</w:t>
      </w:r>
      <w:r>
        <w:t xml:space="preserve">;</w:t>
      </w:r>
      <w:r/>
    </w:p>
    <w:p>
      <w:pPr>
        <w:pStyle w:val="943"/>
      </w:pPr>
      <w:r>
        <w:t xml:space="preserve">решения по численности, квалификации и функциям персонала </w:t>
      </w:r>
      <w:r>
        <w:t xml:space="preserve">ИС</w:t>
      </w:r>
      <w:r>
        <w:t xml:space="preserve">, режимам его работы, порядку взаимодействия</w:t>
      </w:r>
      <w:r>
        <w:t xml:space="preserve"> персонала. </w:t>
      </w:r>
      <w:r>
        <w:t xml:space="preserve">Н</w:t>
      </w:r>
      <w:r>
        <w:t xml:space="preserve">еобходимо указать категори</w:t>
      </w:r>
      <w:r>
        <w:t xml:space="preserve">и</w:t>
      </w:r>
      <w:r>
        <w:t xml:space="preserve"> сотрудников, котор</w:t>
      </w:r>
      <w:r>
        <w:t xml:space="preserve">ые</w:t>
      </w:r>
      <w:r>
        <w:t xml:space="preserve"> относ</w:t>
      </w:r>
      <w:r>
        <w:t xml:space="preserve">я</w:t>
      </w:r>
      <w:r>
        <w:t xml:space="preserve">тся к обслуживающе</w:t>
      </w:r>
      <w:r>
        <w:t xml:space="preserve">му</w:t>
      </w:r>
      <w:r>
        <w:t xml:space="preserve"> и функционально</w:t>
      </w:r>
      <w:r>
        <w:t xml:space="preserve">му</w:t>
      </w:r>
      <w:r>
        <w:t xml:space="preserve"> типу персонала и описать их функции в</w:t>
      </w:r>
      <w:r>
        <w:t xml:space="preserve"> рамках работы ИС;</w:t>
      </w:r>
      <w:r/>
    </w:p>
    <w:p>
      <w:pPr>
        <w:pStyle w:val="943"/>
      </w:pPr>
      <w:r>
        <w:t xml:space="preserve">сведения об обеспечении заданных в техническом задании по</w:t>
      </w:r>
      <w:r>
        <w:t xml:space="preserve">казателей назначения и по</w:t>
      </w:r>
      <w:r>
        <w:t xml:space="preserve">требительских характеристик </w:t>
      </w:r>
      <w:r>
        <w:t xml:space="preserve">ИС, определяющих ее качество. Для каждого показателя назначения должны быть описаны </w:t>
      </w:r>
      <w:r>
        <w:t xml:space="preserve">решения, с помощью которых </w:t>
      </w:r>
      <w:r>
        <w:t xml:space="preserve">обеспечивается его достижение </w:t>
      </w:r>
      <w:r>
        <w:t xml:space="preserve">в системе</w:t>
      </w:r>
      <w:r>
        <w:t xml:space="preserve">;</w:t>
      </w:r>
      <w:r>
        <w:t xml:space="preserve"> </w:t>
      </w:r>
      <w:r>
        <w:t xml:space="preserve">в</w:t>
      </w:r>
      <w:r>
        <w:t xml:space="preserve"> состав основных потребительских характеристик системы входят надежность, безопасность, производительность, масштабируемость;</w:t>
      </w:r>
      <w:r/>
    </w:p>
    <w:p>
      <w:pPr>
        <w:pStyle w:val="943"/>
      </w:pPr>
      <w:r>
        <w:t xml:space="preserve">решения по комплексу технических средств</w:t>
      </w:r>
      <w:r>
        <w:t xml:space="preserve"> ИС</w:t>
      </w:r>
      <w:r>
        <w:t xml:space="preserve">, </w:t>
      </w:r>
      <w:r>
        <w:t xml:space="preserve">включая</w:t>
      </w:r>
      <w:r>
        <w:t xml:space="preserve"> детальные требования к</w:t>
      </w:r>
      <w:r>
        <w:rPr>
          <w:rStyle w:val="949"/>
        </w:rPr>
        <w:footnoteReference w:id="3"/>
      </w:r>
      <w:r>
        <w:t xml:space="preserve">:</w:t>
      </w:r>
      <w:r/>
    </w:p>
    <w:p>
      <w:pPr>
        <w:pStyle w:val="944"/>
      </w:pPr>
      <w:r>
        <w:t xml:space="preserve">вычислительным платформам;</w:t>
      </w:r>
      <w:r/>
    </w:p>
    <w:p>
      <w:pPr>
        <w:pStyle w:val="944"/>
      </w:pPr>
      <w:r>
        <w:t xml:space="preserve">средства</w:t>
      </w:r>
      <w:r>
        <w:t xml:space="preserve">м</w:t>
      </w:r>
      <w:r>
        <w:t xml:space="preserve"> виртуализации</w:t>
      </w:r>
      <w:r>
        <w:t xml:space="preserve">;</w:t>
      </w:r>
      <w:r/>
    </w:p>
    <w:p>
      <w:pPr>
        <w:pStyle w:val="944"/>
      </w:pPr>
      <w:r>
        <w:t xml:space="preserve">систем</w:t>
      </w:r>
      <w:r>
        <w:t xml:space="preserve">ам</w:t>
      </w:r>
      <w:r>
        <w:t xml:space="preserve"> хранения данных</w:t>
      </w:r>
      <w:r>
        <w:t xml:space="preserve">;</w:t>
      </w:r>
      <w:r/>
    </w:p>
    <w:p>
      <w:pPr>
        <w:pStyle w:val="944"/>
      </w:pPr>
      <w:r>
        <w:t xml:space="preserve">оборудованию ЛВС и сетей передачи данных, включая требования к каналам связи;</w:t>
      </w:r>
      <w:r/>
    </w:p>
    <w:p>
      <w:pPr>
        <w:pStyle w:val="944"/>
      </w:pPr>
      <w:r>
        <w:t xml:space="preserve">системам инженерного обеспечения;</w:t>
      </w:r>
      <w:r/>
    </w:p>
    <w:p>
      <w:pPr>
        <w:pStyle w:val="944"/>
      </w:pPr>
      <w:r>
        <w:t xml:space="preserve">средствам обеспечения информационной безопасности;</w:t>
      </w:r>
      <w:r/>
    </w:p>
    <w:p>
      <w:pPr>
        <w:pStyle w:val="944"/>
      </w:pPr>
      <w:r>
        <w:t xml:space="preserve">прочему оборудованию, необходимому для функционирования ИС.</w:t>
      </w:r>
      <w:r/>
    </w:p>
    <w:p>
      <w:pPr>
        <w:pStyle w:val="943"/>
      </w:pPr>
      <w:r>
        <w:t xml:space="preserve">решения по составу информации, объему, способам ее организации, </w:t>
      </w:r>
      <w:r>
        <w:t xml:space="preserve">длительности хранения, </w:t>
      </w:r>
      <w:r>
        <w:t xml:space="preserve">способам передачи и хранения, включая </w:t>
      </w:r>
      <w:r>
        <w:t xml:space="preserve">решения по </w:t>
      </w:r>
      <w:r>
        <w:t xml:space="preserve">размещени</w:t>
      </w:r>
      <w:r>
        <w:t xml:space="preserve">ю</w:t>
      </w:r>
      <w:r>
        <w:t xml:space="preserve"> на системах хранения данных различного класса</w:t>
      </w:r>
      <w:r>
        <w:t xml:space="preserve">, </w:t>
      </w:r>
      <w:r>
        <w:t xml:space="preserve">описание </w:t>
      </w:r>
      <w:r>
        <w:t xml:space="preserve">входны</w:t>
      </w:r>
      <w:r>
        <w:t xml:space="preserve">х</w:t>
      </w:r>
      <w:r>
        <w:t xml:space="preserve"> и выходны</w:t>
      </w:r>
      <w:r>
        <w:t xml:space="preserve">х</w:t>
      </w:r>
      <w:r>
        <w:t xml:space="preserve"> документ</w:t>
      </w:r>
      <w:r>
        <w:t xml:space="preserve">ов</w:t>
      </w:r>
      <w:r>
        <w:t xml:space="preserve"> и сообщени</w:t>
      </w:r>
      <w:r>
        <w:t xml:space="preserve">й</w:t>
      </w:r>
      <w:r>
        <w:t xml:space="preserve">, последовательности обработки информации;</w:t>
      </w:r>
      <w:r/>
    </w:p>
    <w:p>
      <w:pPr>
        <w:pStyle w:val="943"/>
      </w:pPr>
      <w:r>
        <w:t xml:space="preserve">решения по составу программн</w:t>
      </w:r>
      <w:r>
        <w:t xml:space="preserve">ого обеспечения ИС, с указанием программных компонентов, относящихся к каждой категории ПО ИС, а именно: СПО, БПО, ПО СУБД, ППО, включая решения по размещению ПО ИС на элементах КТС;</w:t>
      </w:r>
      <w:r/>
    </w:p>
    <w:p>
      <w:pPr>
        <w:pStyle w:val="943"/>
      </w:pPr>
      <w:r>
        <w:t xml:space="preserve">решения по режимам функционирования</w:t>
      </w:r>
      <w:r>
        <w:t xml:space="preserve"> ИС (см. п.</w:t>
      </w:r>
      <w:r>
        <w:fldChar w:fldCharType="begin"/>
      </w:r>
      <w:r>
        <w:instrText xml:space="preserve"> REF _Ref443663571 \r \h </w:instrText>
      </w:r>
      <w:r>
        <w:fldChar w:fldCharType="separate"/>
      </w:r>
      <w:r>
        <w:t xml:space="preserve">1</w:t>
      </w:r>
      <w:r>
        <w:fldChar w:fldCharType="end"/>
      </w:r>
      <w:r>
        <w:t xml:space="preserve">);</w:t>
      </w:r>
      <w:r/>
    </w:p>
    <w:p>
      <w:pPr>
        <w:pStyle w:val="943"/>
      </w:pPr>
      <w:r>
        <w:t xml:space="preserve">решения по средствам и способам </w:t>
      </w:r>
      <w:r>
        <w:t xml:space="preserve">диагностировани</w:t>
      </w:r>
      <w:r>
        <w:t xml:space="preserve">я</w:t>
      </w:r>
      <w:r>
        <w:t xml:space="preserve"> работ</w:t>
      </w:r>
      <w:r>
        <w:t xml:space="preserve">оспособности</w:t>
      </w:r>
      <w:r>
        <w:t xml:space="preserve"> </w:t>
      </w:r>
      <w:r>
        <w:t xml:space="preserve">ИС</w:t>
      </w:r>
      <w:r>
        <w:t xml:space="preserve">;</w:t>
      </w:r>
      <w:r/>
    </w:p>
    <w:p>
      <w:pPr>
        <w:pStyle w:val="943"/>
      </w:pPr>
      <w:r>
        <w:t xml:space="preserve">указания по </w:t>
      </w:r>
      <w:r>
        <w:t xml:space="preserve">размещению </w:t>
      </w:r>
      <w:r>
        <w:t xml:space="preserve">программно-аппаратного комплекса ИС </w:t>
      </w:r>
      <w:r>
        <w:t xml:space="preserve">на объекте</w:t>
      </w:r>
      <w:r>
        <w:t xml:space="preserve">, включая необходимые требования к условиям размещения.</w:t>
      </w:r>
      <w:r/>
    </w:p>
    <w:p>
      <w:pPr>
        <w:pStyle w:val="907"/>
      </w:pPr>
      <w:r/>
      <w:bookmarkStart w:id="14" w:name="_Toc448747451"/>
      <w:r/>
      <w:bookmarkStart w:id="15" w:name="_Toc443664191"/>
      <w:r>
        <w:t xml:space="preserve">Проектная оценка надежности системы</w:t>
      </w:r>
      <w:bookmarkEnd w:id="14"/>
      <w:r/>
      <w:r/>
    </w:p>
    <w:p>
      <w:pPr>
        <w:pStyle w:val="924"/>
      </w:pPr>
      <w:r>
        <w:t xml:space="preserve">В </w:t>
      </w:r>
      <w:r>
        <w:t xml:space="preserve">качестве исходных данных для расчета</w:t>
      </w:r>
      <w:r>
        <w:t xml:space="preserve"> приводят:</w:t>
      </w:r>
      <w:r/>
    </w:p>
    <w:p>
      <w:pPr>
        <w:pStyle w:val="943"/>
      </w:pPr>
      <w:r>
        <w:t xml:space="preserve">перечень оцениваемых показателей надежности</w:t>
      </w:r>
      <w:r>
        <w:t xml:space="preserve"> ИС</w:t>
      </w:r>
      <w:r>
        <w:t xml:space="preserve">;</w:t>
      </w:r>
      <w:r/>
    </w:p>
    <w:p>
      <w:pPr>
        <w:pStyle w:val="943"/>
      </w:pPr>
      <w:r>
        <w:t xml:space="preserve">состав учитываемых при расчете факторов, а также п</w:t>
      </w:r>
      <w:r>
        <w:t xml:space="preserve">ринятые допущения и ограничения;</w:t>
      </w:r>
      <w:r/>
    </w:p>
    <w:p>
      <w:pPr>
        <w:pStyle w:val="943"/>
      </w:pPr>
      <w:r>
        <w:t xml:space="preserve">данные о надежности (паспортные и справочные) элементов </w:t>
      </w:r>
      <w:r>
        <w:t xml:space="preserve">И</w:t>
      </w:r>
      <w:r>
        <w:t xml:space="preserve">С, учитываемые при расчете надежности системы</w:t>
      </w:r>
      <w:r/>
    </w:p>
    <w:p>
      <w:pPr>
        <w:pStyle w:val="924"/>
      </w:pPr>
      <w:r>
        <w:t xml:space="preserve">У</w:t>
      </w:r>
      <w:r>
        <w:t xml:space="preserve">казывают обоснование выбора методики расчета и нормативно-технический документ, согласно которого проводят расчет, или краткое описание методики расчета и ссылку на источники, где она опубликована</w:t>
      </w:r>
      <w:r>
        <w:t xml:space="preserve">.</w:t>
      </w:r>
      <w:r/>
    </w:p>
    <w:p>
      <w:pPr>
        <w:pStyle w:val="924"/>
      </w:pPr>
      <w:r>
        <w:t xml:space="preserve">При ра</w:t>
      </w:r>
      <w:r>
        <w:t xml:space="preserve">счет</w:t>
      </w:r>
      <w:r>
        <w:t xml:space="preserve">е</w:t>
      </w:r>
      <w:r>
        <w:t xml:space="preserve"> показателей надежности указывают:</w:t>
      </w:r>
      <w:r/>
    </w:p>
    <w:p>
      <w:pPr>
        <w:pStyle w:val="943"/>
      </w:pPr>
      <w:r>
        <w:t xml:space="preserve">надежностные</w:t>
      </w:r>
      <w:r>
        <w:t xml:space="preserve"> структуры компонентов </w:t>
      </w:r>
      <w:r>
        <w:t xml:space="preserve">И</w:t>
      </w:r>
      <w:r>
        <w:t xml:space="preserve">С (комплекса технических средств, программного обеспечения и персонала) по всем оцениваемым функциям (функциональным подсистемам) </w:t>
      </w:r>
      <w:r>
        <w:t xml:space="preserve">И</w:t>
      </w:r>
      <w:r>
        <w:t xml:space="preserve">С;</w:t>
      </w:r>
      <w:r/>
    </w:p>
    <w:p>
      <w:pPr>
        <w:pStyle w:val="943"/>
      </w:pPr>
      <w:r>
        <w:t xml:space="preserve">необходимые вычисления;</w:t>
      </w:r>
      <w:r/>
    </w:p>
    <w:p>
      <w:pPr>
        <w:pStyle w:val="943"/>
      </w:pPr>
      <w:r>
        <w:t xml:space="preserve">итоговые данные расчета по каждой оцениваемой функции (функциональной подсистеме) </w:t>
      </w:r>
      <w:r>
        <w:t xml:space="preserve">И</w:t>
      </w:r>
      <w:r>
        <w:t xml:space="preserve">С и каждому нормируемому показателю надежности</w:t>
      </w:r>
      <w:r>
        <w:t xml:space="preserve">;</w:t>
      </w:r>
      <w:r/>
    </w:p>
    <w:p>
      <w:pPr>
        <w:pStyle w:val="943"/>
      </w:pPr>
      <w:r>
        <w:t xml:space="preserve">выводы о достаточности или недостаточности полученного уровня надежности </w:t>
      </w:r>
      <w:r>
        <w:t xml:space="preserve">И</w:t>
      </w:r>
      <w:r>
        <w:t xml:space="preserve">С по каждой оцениваемой функции (функциональной подсистеме) </w:t>
      </w:r>
      <w:r>
        <w:t xml:space="preserve">И</w:t>
      </w:r>
      <w:r>
        <w:t xml:space="preserve">С и, при необходимости, рекомендации по повышению надежности.</w:t>
      </w:r>
      <w:r/>
    </w:p>
    <w:p>
      <w:pPr>
        <w:pStyle w:val="943"/>
        <w:numPr>
          <w:ilvl w:val="0"/>
          <w:numId w:val="0"/>
        </w:numPr>
        <w:ind w:left="567"/>
        <w:rPr>
          <w:rStyle w:val="988"/>
        </w:rPr>
      </w:pPr>
      <w:r>
        <w:rPr>
          <w:rStyle w:val="988"/>
        </w:rPr>
        <w:t xml:space="preserve">Примечание. </w:t>
      </w:r>
      <w:r>
        <w:rPr>
          <w:rStyle w:val="988"/>
        </w:rPr>
        <w:t xml:space="preserve">Если в обоснованных случаях при оценке надежности </w:t>
      </w:r>
      <w:r>
        <w:rPr>
          <w:rStyle w:val="988"/>
        </w:rPr>
        <w:t xml:space="preserve">И</w:t>
      </w:r>
      <w:r>
        <w:rPr>
          <w:rStyle w:val="988"/>
        </w:rPr>
        <w:t xml:space="preserve">С нельзя учесть уров</w:t>
      </w:r>
      <w:r>
        <w:rPr>
          <w:rStyle w:val="988"/>
        </w:rPr>
        <w:t xml:space="preserve">ни</w:t>
      </w:r>
      <w:r>
        <w:rPr>
          <w:rStyle w:val="988"/>
        </w:rPr>
        <w:t xml:space="preserve"> надежности программного обеспечения </w:t>
      </w:r>
      <w:r>
        <w:rPr>
          <w:rStyle w:val="988"/>
        </w:rPr>
        <w:t xml:space="preserve">ИС </w:t>
      </w:r>
      <w:r>
        <w:rPr>
          <w:rStyle w:val="988"/>
        </w:rPr>
        <w:t xml:space="preserve">и действий персонала </w:t>
      </w:r>
      <w:r>
        <w:rPr>
          <w:rStyle w:val="988"/>
        </w:rPr>
        <w:t xml:space="preserve">И</w:t>
      </w:r>
      <w:r>
        <w:rPr>
          <w:rStyle w:val="988"/>
        </w:rPr>
        <w:t xml:space="preserve">С, то оценк</w:t>
      </w:r>
      <w:r>
        <w:rPr>
          <w:rStyle w:val="988"/>
        </w:rPr>
        <w:t xml:space="preserve">а</w:t>
      </w:r>
      <w:r>
        <w:rPr>
          <w:rStyle w:val="988"/>
        </w:rPr>
        <w:t xml:space="preserve"> надежности </w:t>
      </w:r>
      <w:r>
        <w:rPr>
          <w:rStyle w:val="988"/>
        </w:rPr>
        <w:t xml:space="preserve">И</w:t>
      </w:r>
      <w:r>
        <w:rPr>
          <w:rStyle w:val="988"/>
        </w:rPr>
        <w:t xml:space="preserve">С </w:t>
      </w:r>
      <w:r>
        <w:rPr>
          <w:rStyle w:val="988"/>
        </w:rPr>
        <w:t xml:space="preserve">производится </w:t>
      </w:r>
      <w:r>
        <w:rPr>
          <w:rStyle w:val="988"/>
        </w:rPr>
        <w:t xml:space="preserve">только с учетом надежности комплекса технических средств, в том числе нестандартных.</w:t>
      </w:r>
      <w:r>
        <w:rPr>
          <w:rStyle w:val="988"/>
        </w:rPr>
      </w:r>
    </w:p>
    <w:p>
      <w:pPr>
        <w:pStyle w:val="907"/>
      </w:pPr>
      <w:r/>
      <w:bookmarkStart w:id="16" w:name="_Toc448747452"/>
      <w:r>
        <w:t xml:space="preserve">Мероприятия по подготовке объекта автоматизации к вводу системы в действие</w:t>
      </w:r>
      <w:bookmarkEnd w:id="15"/>
      <w:r/>
      <w:bookmarkEnd w:id="16"/>
      <w:r/>
      <w:r/>
    </w:p>
    <w:p>
      <w:pPr>
        <w:pStyle w:val="924"/>
      </w:pPr>
      <w:r>
        <w:t xml:space="preserve">В разделе приводят:</w:t>
      </w:r>
      <w:r/>
    </w:p>
    <w:p>
      <w:pPr>
        <w:pStyle w:val="943"/>
      </w:pPr>
      <w:r>
        <w:t xml:space="preserve">мероприятия по приведению информации к виду, пригодному для обработки </w:t>
      </w:r>
      <w:r>
        <w:t xml:space="preserve">средствами ИС</w:t>
      </w:r>
      <w:r>
        <w:t xml:space="preserve">;</w:t>
      </w:r>
      <w:r/>
    </w:p>
    <w:p>
      <w:pPr>
        <w:pStyle w:val="943"/>
      </w:pPr>
      <w:r>
        <w:t xml:space="preserve">мероприятия по обучению и проверке квалификации персонала;</w:t>
      </w:r>
      <w:r/>
    </w:p>
    <w:p>
      <w:pPr>
        <w:pStyle w:val="943"/>
      </w:pPr>
      <w:r>
        <w:t xml:space="preserve">мероприятия по созданию необходимых подразделений и рабочих мест;</w:t>
      </w:r>
      <w:r/>
    </w:p>
    <w:p>
      <w:pPr>
        <w:pStyle w:val="943"/>
      </w:pPr>
      <w:r>
        <w:t xml:space="preserve">мероприятия по изменению объекта автоматизации;</w:t>
      </w:r>
      <w:r/>
    </w:p>
    <w:p>
      <w:pPr>
        <w:pStyle w:val="943"/>
      </w:pPr>
      <w:r>
        <w:t xml:space="preserve">другие мероприятия, исходящие из специфических особенностей</w:t>
      </w:r>
      <w:r>
        <w:t xml:space="preserve"> создаваемой И</w:t>
      </w:r>
      <w:r>
        <w:t xml:space="preserve">С.</w:t>
      </w:r>
      <w:r/>
    </w:p>
    <w:p>
      <w:pPr>
        <w:pStyle w:val="951"/>
      </w:pPr>
      <w:r>
        <w:br w:type="page" w:clear="all"/>
      </w:r>
      <w:bookmarkStart w:id="17" w:name="_Toc443664192"/>
      <w:r/>
      <w:bookmarkStart w:id="18" w:name="_Toc448747453"/>
      <w:r>
        <w:t xml:space="preserve">Приложение 1. </w:t>
      </w:r>
      <w:r>
        <w:br/>
      </w:r>
      <w:r>
        <w:t xml:space="preserve">Рекомендации по содержанию разделов документа</w:t>
      </w:r>
      <w:bookmarkEnd w:id="17"/>
      <w:r/>
      <w:bookmarkEnd w:id="18"/>
      <w:r/>
      <w:r/>
    </w:p>
    <w:p>
      <w:pPr>
        <w:pStyle w:val="917"/>
      </w:pPr>
      <w:r>
        <w:t xml:space="preserve">В настоящем Приложении приводится содержание типовых разделов документа, уточнённые требования к разделам, или рекомендации по их наполнению.</w:t>
      </w:r>
      <w:r/>
    </w:p>
    <w:p>
      <w:pPr>
        <w:pStyle w:val="907"/>
        <w:numPr>
          <w:ilvl w:val="0"/>
          <w:numId w:val="60"/>
        </w:numPr>
      </w:pPr>
      <w:r/>
      <w:bookmarkStart w:id="19" w:name="_Ref443663571"/>
      <w:r/>
      <w:bookmarkStart w:id="20" w:name="_Toc443664193"/>
      <w:r/>
      <w:bookmarkStart w:id="21" w:name="_Toc448747454"/>
      <w:r>
        <w:t xml:space="preserve">Содержание раздела "Режимы функционирования ИС"</w:t>
      </w:r>
      <w:bookmarkEnd w:id="19"/>
      <w:r/>
      <w:bookmarkEnd w:id="20"/>
      <w:r/>
      <w:bookmarkEnd w:id="21"/>
      <w:r/>
      <w:r/>
    </w:p>
    <w:p>
      <w:pPr>
        <w:pStyle w:val="924"/>
      </w:pPr>
      <w:r>
        <w:t xml:space="preserve">Различают следующие режимы функционирования ИС</w:t>
      </w:r>
      <w:r>
        <w:t xml:space="preserve">:</w:t>
      </w:r>
      <w:r/>
    </w:p>
    <w:p>
      <w:pPr>
        <w:pStyle w:val="943"/>
      </w:pPr>
      <w:r>
        <w:t xml:space="preserve">штатный режим функционирования;</w:t>
      </w:r>
      <w:r/>
    </w:p>
    <w:p>
      <w:pPr>
        <w:pStyle w:val="943"/>
      </w:pPr>
      <w:r>
        <w:t xml:space="preserve">режим технического обслуживания;</w:t>
      </w:r>
      <w:r/>
    </w:p>
    <w:p>
      <w:pPr>
        <w:pStyle w:val="943"/>
      </w:pPr>
      <w:r>
        <w:t xml:space="preserve">режим восстановления:</w:t>
      </w:r>
      <w:r/>
    </w:p>
    <w:p>
      <w:pPr>
        <w:pStyle w:val="944"/>
      </w:pPr>
      <w:r>
        <w:t xml:space="preserve">после сбоя;</w:t>
      </w:r>
      <w:r/>
    </w:p>
    <w:p>
      <w:pPr>
        <w:pStyle w:val="944"/>
      </w:pPr>
      <w:r>
        <w:t xml:space="preserve">после локального отказа;</w:t>
      </w:r>
      <w:r/>
    </w:p>
    <w:p>
      <w:pPr>
        <w:pStyle w:val="944"/>
      </w:pPr>
      <w:r>
        <w:t xml:space="preserve">после критического отказа или аварии.</w:t>
      </w:r>
      <w:r/>
    </w:p>
    <w:p>
      <w:pPr>
        <w:pStyle w:val="924"/>
      </w:pPr>
      <w:r>
        <w:t xml:space="preserve">Основным режимом функционирования </w:t>
      </w:r>
      <w:r>
        <w:t xml:space="preserve">ИС </w:t>
      </w:r>
      <w:r>
        <w:t xml:space="preserve">является штатный. Штатный режим характеризуется доступностью </w:t>
      </w:r>
      <w:r>
        <w:t xml:space="preserve">всех сервисов ИС</w:t>
      </w:r>
      <w:r>
        <w:t xml:space="preserve">.</w:t>
      </w:r>
      <w:r/>
    </w:p>
    <w:p>
      <w:pPr>
        <w:pStyle w:val="924"/>
      </w:pPr>
      <w:r>
        <w:t xml:space="preserve">Режим технического обслуживания предназначен для проведения работ по обслуживанию </w:t>
      </w:r>
      <w:r>
        <w:t xml:space="preserve">системы.</w:t>
      </w:r>
      <w:r/>
    </w:p>
    <w:p>
      <w:pPr>
        <w:pStyle w:val="971"/>
        <w:rPr>
          <w:rStyle w:val="988"/>
        </w:rPr>
      </w:pPr>
      <w:r>
        <w:rPr>
          <w:rStyle w:val="988"/>
        </w:rPr>
        <w:t xml:space="preserve">Далее</w:t>
      </w:r>
      <w:r>
        <w:rPr>
          <w:rStyle w:val="988"/>
        </w:rPr>
        <w:t xml:space="preserve">,</w:t>
      </w:r>
      <w:r>
        <w:rPr>
          <w:rStyle w:val="988"/>
        </w:rPr>
        <w:t xml:space="preserve"> в зависимости от требований ТЗ указывают, допустима ли в настоящем режиме частичная или полная приостановка сервисов, предоставляемых пользователям системой</w:t>
      </w:r>
      <w:r>
        <w:rPr>
          <w:rStyle w:val="988"/>
        </w:rPr>
        <w:t xml:space="preserve">, описывается возможное ухудшение производительности системы и т.д.</w:t>
      </w:r>
      <w:r>
        <w:rPr>
          <w:rStyle w:val="988"/>
        </w:rPr>
      </w:r>
    </w:p>
    <w:p>
      <w:pPr>
        <w:pStyle w:val="971"/>
      </w:pPr>
      <w:r>
        <w:rPr>
          <w:rStyle w:val="988"/>
        </w:rPr>
        <w:t xml:space="preserve">В случае требования о невозможности приостанов</w:t>
      </w:r>
      <w:r>
        <w:rPr>
          <w:rStyle w:val="988"/>
        </w:rPr>
        <w:t xml:space="preserve">ки предоставления сервисов в режиме технического обслуживания должны быть описаны технические и организационные меры по обеспечению выполнения данного требования (например, переключение на другую площадку ЦОД, выбор окна технического обслуживания и т.п.). </w:t>
      </w:r>
      <w:r/>
    </w:p>
    <w:p>
      <w:pPr>
        <w:pStyle w:val="924"/>
      </w:pPr>
      <w:r>
        <w:t xml:space="preserve">Переход из штатного режима в режим технического обслуживания и обратно производится эксплуатирующим персоналом в автоматизированном режиме.</w:t>
      </w:r>
      <w:r/>
    </w:p>
    <w:p>
      <w:pPr>
        <w:pStyle w:val="971"/>
        <w:rPr>
          <w:rStyle w:val="988"/>
        </w:rPr>
      </w:pPr>
      <w:r>
        <w:rPr>
          <w:rStyle w:val="988"/>
        </w:rPr>
        <w:t xml:space="preserve">Далее должны быть определены </w:t>
      </w:r>
      <w:r>
        <w:rPr>
          <w:rStyle w:val="988"/>
        </w:rPr>
        <w:t xml:space="preserve">меры по переводу </w:t>
      </w:r>
      <w:r>
        <w:rPr>
          <w:rStyle w:val="988"/>
        </w:rPr>
        <w:t xml:space="preserve">ИС в режим технического обслуживания и обратно, допустимые сроки функционирования ИС в режиме </w:t>
      </w:r>
      <w:r>
        <w:rPr>
          <w:rStyle w:val="988"/>
        </w:rPr>
        <w:t xml:space="preserve">технического обслуживания,</w:t>
      </w:r>
      <w:r>
        <w:rPr>
          <w:rStyle w:val="988"/>
        </w:rPr>
        <w:t xml:space="preserve"> и предельная длительность недоступности сервисов, предоставляемых ИС.</w:t>
      </w:r>
      <w:r>
        <w:rPr>
          <w:rStyle w:val="988"/>
        </w:rPr>
      </w:r>
    </w:p>
    <w:p>
      <w:pPr>
        <w:pStyle w:val="924"/>
      </w:pPr>
      <w:r>
        <w:t xml:space="preserve">В случае возникновения сбоев в работе, локальных отказов, критических отказов или аварий система должна быть переведена в режим восстановления. </w:t>
      </w:r>
      <w:r/>
    </w:p>
    <w:p>
      <w:pPr>
        <w:pStyle w:val="924"/>
      </w:pPr>
      <w:r>
        <w:t xml:space="preserve">Режим восстановления характеризуется временной недоступностью одного, или нескольких сервисов, предоставляемых ИС, вплоть до её полной неработоспособности.</w:t>
      </w:r>
      <w:r/>
    </w:p>
    <w:p>
      <w:pPr>
        <w:pStyle w:val="924"/>
      </w:pPr>
      <w:r>
        <w:t xml:space="preserve">Перевод в режим восстановления </w:t>
      </w:r>
      <w:r>
        <w:t xml:space="preserve">и обратно производится эксплуатирующим персоналом в автоматизированном режиме</w:t>
      </w:r>
      <w:r>
        <w:t xml:space="preserve">. Также этот переход может осуществляться и в автоматическом режиме, если такая функциональность предусмотрена требованиями к системе.</w:t>
      </w:r>
      <w:r/>
    </w:p>
    <w:p>
      <w:pPr>
        <w:pStyle w:val="971"/>
        <w:rPr>
          <w:rStyle w:val="988"/>
        </w:rPr>
      </w:pPr>
      <w:r>
        <w:rPr>
          <w:rStyle w:val="988"/>
        </w:rPr>
        <w:t xml:space="preserve">Далее должны быть определены </w:t>
      </w:r>
      <w:r>
        <w:rPr>
          <w:rStyle w:val="988"/>
        </w:rPr>
        <w:t xml:space="preserve">меры по переводу </w:t>
      </w:r>
      <w:r>
        <w:rPr>
          <w:rStyle w:val="988"/>
        </w:rPr>
        <w:t xml:space="preserve">ИС в режим </w:t>
      </w:r>
      <w:r>
        <w:rPr>
          <w:rStyle w:val="988"/>
        </w:rPr>
        <w:t xml:space="preserve">восстановления</w:t>
      </w:r>
      <w:r>
        <w:rPr>
          <w:rStyle w:val="988"/>
        </w:rPr>
        <w:t xml:space="preserve"> и обратно, допустимые сроки </w:t>
      </w:r>
      <w:r>
        <w:rPr>
          <w:rStyle w:val="988"/>
        </w:rPr>
        <w:t xml:space="preserve">нахождения </w:t>
      </w:r>
      <w:r>
        <w:rPr>
          <w:rStyle w:val="988"/>
        </w:rPr>
        <w:t xml:space="preserve">ИС в режиме </w:t>
      </w:r>
      <w:r>
        <w:rPr>
          <w:rStyle w:val="988"/>
        </w:rPr>
        <w:t xml:space="preserve">восстановления и предельная дл</w:t>
      </w:r>
      <w:r>
        <w:rPr>
          <w:rStyle w:val="988"/>
        </w:rPr>
        <w:t xml:space="preserve">ительность недоступности сервисов, технические и организационные решения по использованию резервов ИС (например, меры по переключению недоступных сервисов на резервные площадки), общие указания по порядку восстановления работоспособности и данных ИС и т.д.</w:t>
      </w:r>
      <w:r>
        <w:rPr>
          <w:rStyle w:val="988"/>
        </w:rPr>
      </w:r>
    </w:p>
    <w:p>
      <w:pPr>
        <w:pStyle w:val="971"/>
      </w:pPr>
      <w:r>
        <w:rPr>
          <w:rStyle w:val="988"/>
        </w:rPr>
        <w:t xml:space="preserve">Детальный порядок действий персонала в различных режимах работы системы описывается в документах "Руководство по администрированию системы" и "Инструкция по эксплуатации".</w:t>
      </w:r>
      <w:r/>
    </w:p>
    <w:p>
      <w:pPr>
        <w:pStyle w:val="932"/>
      </w:pPr>
      <w:r>
        <w:br w:type="page" w:clear="all"/>
      </w:r>
      <w:r>
        <w:t xml:space="preserve"> </w:t>
      </w:r>
      <w:r>
        <w:t xml:space="preserve">Согласовано</w:t>
      </w:r>
      <w:r/>
    </w:p>
    <w:tbl>
      <w:tblPr>
        <w:tblW w:w="96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исполнителя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pPr>
        <w:pStyle w:val="932"/>
      </w:pPr>
      <w:r/>
      <w:bookmarkStart w:id="22" w:name="_Toc358118979"/>
      <w:r/>
      <w:bookmarkStart w:id="23" w:name="_Toc403720970"/>
      <w:r>
        <w:br w:type="page" w:clear="all"/>
      </w:r>
      <w:r>
        <w:t xml:space="preserve">Л</w:t>
      </w:r>
      <w:r>
        <w:t xml:space="preserve">ист регистрации изменений</w:t>
      </w:r>
      <w:bookmarkEnd w:id="22"/>
      <w:r/>
      <w:bookmarkEnd w:id="23"/>
      <w:r/>
      <w:r/>
    </w:p>
    <w:tbl>
      <w:tblPr>
        <w:tblW w:w="497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>
        <w:tblPrEx/>
        <w:trPr>
          <w:trHeight w:val="544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  <w:br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Автор</w:t>
            </w:r>
            <w:r>
              <w:rPr>
                <w:b/>
              </w:rPr>
              <w:br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>
              <w:t xml:space="preserve">01.01.2000</w:t>
            </w:r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>
              <w:t xml:space="preserve">Иванов И.А.</w:t>
            </w:r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rPr>
        <w:rStyle w:val="989"/>
        <w:lang w:val="en-US"/>
      </w:rPr>
    </w:pPr>
    <w:r>
      <w:t xml:space="preserve">20</w:t>
    </w:r>
    <w:r>
      <w:rPr>
        <w:rStyle w:val="989"/>
      </w:rPr>
      <w:t xml:space="preserve"> </w:t>
    </w:r>
    <w:r>
      <w:rPr>
        <w:rStyle w:val="989"/>
      </w:rPr>
      <w:t xml:space="preserve"> </w:t>
    </w:r>
    <w:r>
      <w:rPr>
        <w:rStyle w:val="989"/>
        <w:lang w:val="en-US"/>
      </w:rPr>
      <w:t xml:space="preserve"> </w:t>
    </w:r>
    <w:r>
      <w:t xml:space="preserve">г.</w:t>
    </w:r>
    <w:r>
      <w:rPr>
        <w:rStyle w:val="989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r>
        <w:rPr>
          <w:rStyle w:val="949"/>
        </w:rPr>
        <w:footnoteRef/>
      </w:r>
      <w:r>
        <w:t xml:space="preserve"> Содержание разделов 3 и 4 в части перечня и наименований автоматизируемых функций, функциональных областей и структурных модулей ИС должно разрабатываться с учетом "Методики разработки </w:t>
      </w:r>
      <w:r>
        <w:t xml:space="preserve">сервисно</w:t>
      </w:r>
      <w:r>
        <w:t xml:space="preserve">-ресурсной модели ИТ-сервиса", а также должно соответствовать "Паспорту ИТ-сервиса" ИС.</w:t>
      </w:r>
      <w:r/>
    </w:p>
  </w:footnote>
  <w:footnote w:id="3">
    <w:p>
      <w:r>
        <w:rPr>
          <w:rStyle w:val="949"/>
        </w:rPr>
        <w:footnoteRef/>
      </w:r>
      <w:r>
        <w:t xml:space="preserve"> В документе "Описание КТС" должны быть указаны конкретные модели и технические характеристики используемого оборудования 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82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82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82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82"/>
          </w:pPr>
          <w:r>
            <w:t xml:space="preserve">Пояснительная записка к техническому проекту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82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982"/>
          </w:pPr>
          <w:r>
            <w:t xml:space="preserve">XXXXXXXX.AA.BB,BB.</w:t>
          </w:r>
          <w:r>
            <w:rPr>
              <w:rStyle w:val="987"/>
            </w:rPr>
            <w:t xml:space="preserve">П</w:t>
          </w:r>
          <w:r>
            <w:rPr>
              <w:rStyle w:val="987"/>
            </w:rPr>
            <w:t xml:space="preserve">2</w:t>
          </w:r>
          <w:r>
            <w:t xml:space="preserve">.DDD</w:t>
          </w:r>
          <w:r>
            <w:t xml:space="preserve">-E.E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982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7</w:t>
          </w:r>
          <w:r>
            <w:fldChar w:fldCharType="end"/>
          </w:r>
          <w:r/>
        </w:p>
      </w:tc>
    </w:tr>
  </w:tbl>
  <w:p>
    <w:pPr>
      <w:pStyle w:val="93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pStyle w:val="970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pStyle w:val="943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hint="default"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1"/>
      <w:numFmt w:val="bullet"/>
      <w:pStyle w:val="960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hint="default"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47" w:hanging="3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none"/>
      <w:pStyle w:val="944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hint="default"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0">
    <w:multiLevelType w:val="hybridMultilevel"/>
    <w:lvl w:ilvl="0">
      <w:start w:val="1"/>
      <w:numFmt w:val="bullet"/>
      <w:pStyle w:val="950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decimal"/>
      <w:pStyle w:val="907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908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09"/>
      <w:isLgl w:val="false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910"/>
      <w:isLgl w:val="false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9">
    <w:multiLevelType w:val="hybridMultilevel"/>
    <w:lvl w:ilvl="0">
      <w:start w:val="1"/>
      <w:numFmt w:val="upperLetter"/>
      <w:isLgl w:val="false"/>
      <w:suff w:val="tab"/>
      <w:lvlText w:val="Приложение %1."/>
      <w:lvlJc w:val="left"/>
      <w:pPr>
        <w:ind w:left="432" w:hanging="432"/>
        <w:tabs>
          <w:tab w:val="num" w:pos="28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6">
    <w:multiLevelType w:val="hybridMultilevel"/>
    <w:lvl w:ilvl="0">
      <w:start w:val="1"/>
      <w:numFmt w:val="bullet"/>
      <w:pStyle w:val="947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decimal"/>
      <w:pStyle w:val="946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decimal"/>
      <w:pStyle w:val="937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9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num w:numId="1">
    <w:abstractNumId w:val="7"/>
  </w:num>
  <w:num w:numId="2">
    <w:abstractNumId w:val="57"/>
  </w:num>
  <w:num w:numId="3">
    <w:abstractNumId w:val="24"/>
  </w:num>
  <w:num w:numId="4">
    <w:abstractNumId w:val="58"/>
  </w:num>
  <w:num w:numId="5">
    <w:abstractNumId w:val="56"/>
  </w:num>
  <w:num w:numId="6">
    <w:abstractNumId w:val="30"/>
  </w:num>
  <w:num w:numId="7">
    <w:abstractNumId w:val="8"/>
  </w:num>
  <w:num w:numId="8">
    <w:abstractNumId w:val="11"/>
  </w:num>
  <w:num w:numId="9">
    <w:abstractNumId w:val="49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7"/>
  </w:num>
  <w:num w:numId="21">
    <w:abstractNumId w:val="18"/>
  </w:num>
  <w:num w:numId="22">
    <w:abstractNumId w:val="48"/>
  </w:num>
  <w:num w:numId="23">
    <w:abstractNumId w:val="40"/>
  </w:num>
  <w:num w:numId="24">
    <w:abstractNumId w:val="42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2"/>
  </w:num>
  <w:num w:numId="30">
    <w:abstractNumId w:val="33"/>
  </w:num>
  <w:num w:numId="31">
    <w:abstractNumId w:val="31"/>
  </w:num>
  <w:num w:numId="32">
    <w:abstractNumId w:val="36"/>
  </w:num>
  <w:num w:numId="33">
    <w:abstractNumId w:val="51"/>
  </w:num>
  <w:num w:numId="34">
    <w:abstractNumId w:val="19"/>
  </w:num>
  <w:num w:numId="35">
    <w:abstractNumId w:val="17"/>
  </w:num>
  <w:num w:numId="36">
    <w:abstractNumId w:val="45"/>
  </w:num>
  <w:num w:numId="37">
    <w:abstractNumId w:val="2"/>
  </w:num>
  <w:num w:numId="38">
    <w:abstractNumId w:val="44"/>
  </w:num>
  <w:num w:numId="39">
    <w:abstractNumId w:val="41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7"/>
  </w:num>
  <w:num w:numId="48">
    <w:abstractNumId w:val="32"/>
  </w:num>
  <w:num w:numId="49">
    <w:abstractNumId w:val="50"/>
  </w:num>
  <w:num w:numId="50">
    <w:abstractNumId w:val="55"/>
  </w:num>
  <w:num w:numId="51">
    <w:abstractNumId w:val="27"/>
  </w:num>
  <w:num w:numId="52">
    <w:abstractNumId w:val="54"/>
  </w:num>
  <w:num w:numId="53">
    <w:abstractNumId w:val="43"/>
  </w:num>
  <w:num w:numId="5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59"/>
  </w:num>
  <w:num w:numId="59">
    <w:abstractNumId w:val="38"/>
  </w:num>
  <w:num w:numId="6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914"/>
    <w:link w:val="907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914"/>
    <w:link w:val="908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914"/>
    <w:link w:val="909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914"/>
    <w:link w:val="910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914"/>
    <w:link w:val="911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914"/>
    <w:link w:val="912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914"/>
    <w:link w:val="91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906"/>
    <w:next w:val="90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91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906"/>
    <w:next w:val="90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91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906"/>
    <w:next w:val="90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914"/>
    <w:link w:val="34"/>
    <w:uiPriority w:val="10"/>
    <w:rPr>
      <w:sz w:val="48"/>
      <w:szCs w:val="48"/>
    </w:rPr>
  </w:style>
  <w:style w:type="paragraph" w:styleId="36">
    <w:name w:val="Subtitle"/>
    <w:basedOn w:val="906"/>
    <w:next w:val="90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914"/>
    <w:link w:val="36"/>
    <w:uiPriority w:val="11"/>
    <w:rPr>
      <w:sz w:val="24"/>
      <w:szCs w:val="24"/>
    </w:rPr>
  </w:style>
  <w:style w:type="paragraph" w:styleId="38">
    <w:name w:val="Quote"/>
    <w:basedOn w:val="906"/>
    <w:next w:val="90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906"/>
    <w:next w:val="90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914"/>
    <w:link w:val="930"/>
    <w:uiPriority w:val="99"/>
  </w:style>
  <w:style w:type="character" w:styleId="45">
    <w:name w:val="Footer Char"/>
    <w:basedOn w:val="914"/>
    <w:link w:val="933"/>
    <w:uiPriority w:val="99"/>
  </w:style>
  <w:style w:type="character" w:styleId="47">
    <w:name w:val="Caption Char"/>
    <w:basedOn w:val="992"/>
    <w:link w:val="933"/>
    <w:uiPriority w:val="99"/>
  </w:style>
  <w:style w:type="table" w:styleId="49">
    <w:name w:val="Table Grid Light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948"/>
    <w:uiPriority w:val="99"/>
    <w:rPr>
      <w:sz w:val="18"/>
    </w:rPr>
  </w:style>
  <w:style w:type="character" w:styleId="179">
    <w:name w:val="Endnote Text Char"/>
    <w:link w:val="977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906" w:default="1">
    <w:name w:val="Normal"/>
    <w:qFormat/>
    <w:pPr>
      <w:jc w:val="both"/>
    </w:pPr>
    <w:rPr>
      <w:color w:val="000000"/>
      <w:sz w:val="24"/>
    </w:rPr>
  </w:style>
  <w:style w:type="paragraph" w:styleId="907">
    <w:name w:val="Heading 1"/>
    <w:basedOn w:val="906"/>
    <w:next w:val="924"/>
    <w:link w:val="919"/>
    <w:qFormat/>
    <w:pPr>
      <w:numPr>
        <w:ilvl w:val="0"/>
        <w:numId w:val="59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908">
    <w:name w:val="Heading 2"/>
    <w:basedOn w:val="906"/>
    <w:next w:val="925"/>
    <w:link w:val="991"/>
    <w:qFormat/>
    <w:pPr>
      <w:numPr>
        <w:ilvl w:val="1"/>
        <w:numId w:val="59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909">
    <w:name w:val="Heading 3"/>
    <w:basedOn w:val="906"/>
    <w:next w:val="927"/>
    <w:link w:val="920"/>
    <w:qFormat/>
    <w:pPr>
      <w:numPr>
        <w:ilvl w:val="2"/>
        <w:numId w:val="59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910">
    <w:name w:val="Heading 4"/>
    <w:basedOn w:val="906"/>
    <w:next w:val="962"/>
    <w:link w:val="921"/>
    <w:qFormat/>
    <w:pPr>
      <w:numPr>
        <w:ilvl w:val="3"/>
        <w:numId w:val="59"/>
      </w:numPr>
      <w:spacing w:before="360" w:after="120"/>
      <w:outlineLvl w:val="3"/>
    </w:pPr>
    <w:rPr>
      <w:rFonts w:ascii="Arial" w:hAnsi="Arial"/>
      <w:sz w:val="28"/>
    </w:rPr>
  </w:style>
  <w:style w:type="paragraph" w:styleId="911">
    <w:name w:val="Heading 5"/>
    <w:basedOn w:val="906"/>
    <w:next w:val="906"/>
    <w:qFormat/>
    <w:pPr>
      <w:jc w:val="left"/>
      <w:spacing w:before="240" w:after="60" w:line="360" w:lineRule="auto"/>
      <w:outlineLvl w:val="4"/>
    </w:pPr>
    <w:rPr>
      <w:rFonts w:ascii="Arial" w:hAnsi="Arial"/>
      <w:color w:val="auto"/>
      <w:sz w:val="22"/>
      <w:lang w:eastAsia="en-US"/>
    </w:rPr>
  </w:style>
  <w:style w:type="paragraph" w:styleId="912">
    <w:name w:val="Heading 6"/>
    <w:basedOn w:val="906"/>
    <w:next w:val="906"/>
    <w:link w:val="922"/>
    <w:pPr>
      <w:jc w:val="left"/>
      <w:spacing w:before="240" w:after="60" w:line="360" w:lineRule="auto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913">
    <w:name w:val="Heading 7"/>
    <w:basedOn w:val="906"/>
    <w:next w:val="906"/>
    <w:pPr>
      <w:jc w:val="left"/>
      <w:keepNext/>
      <w:spacing w:line="360" w:lineRule="auto"/>
      <w:outlineLvl w:val="6"/>
    </w:pPr>
    <w:rPr>
      <w:rFonts w:ascii="Arial" w:hAnsi="Arial"/>
      <w:i/>
      <w:color w:val="auto"/>
      <w:sz w:val="22"/>
      <w:lang w:val="en-US" w:eastAsia="en-US"/>
    </w:rPr>
  </w:style>
  <w:style w:type="character" w:styleId="914" w:default="1">
    <w:name w:val="Default Paragraph Font"/>
    <w:uiPriority w:val="1"/>
    <w:semiHidden/>
    <w:unhideWhenUsed/>
  </w:style>
  <w:style w:type="table" w:styleId="9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6" w:default="1">
    <w:name w:val="No List"/>
    <w:uiPriority w:val="99"/>
    <w:semiHidden/>
    <w:unhideWhenUsed/>
  </w:style>
  <w:style w:type="paragraph" w:styleId="917">
    <w:name w:val="Body Text"/>
    <w:basedOn w:val="906"/>
    <w:link w:val="918"/>
    <w:pPr>
      <w:ind w:firstLine="567"/>
    </w:pPr>
    <w:rPr>
      <w:sz w:val="28"/>
    </w:rPr>
  </w:style>
  <w:style w:type="character" w:styleId="918" w:customStyle="1">
    <w:name w:val="Основной текст Знак"/>
    <w:link w:val="917"/>
    <w:rPr>
      <w:color w:val="000000"/>
      <w:sz w:val="28"/>
    </w:rPr>
  </w:style>
  <w:style w:type="character" w:styleId="919" w:customStyle="1">
    <w:name w:val="Заголовок 1 Знак"/>
    <w:link w:val="907"/>
    <w:rPr>
      <w:rFonts w:ascii="Arial" w:hAnsi="Arial"/>
      <w:b/>
      <w:bCs/>
      <w:color w:val="000000"/>
      <w:sz w:val="36"/>
    </w:rPr>
  </w:style>
  <w:style w:type="character" w:styleId="920" w:customStyle="1">
    <w:name w:val="Заголовок 3 Знак"/>
    <w:link w:val="909"/>
    <w:rPr>
      <w:rFonts w:ascii="Arial" w:hAnsi="Arial"/>
      <w:b/>
      <w:bCs/>
      <w:color w:val="000000"/>
      <w:sz w:val="28"/>
    </w:rPr>
  </w:style>
  <w:style w:type="character" w:styleId="921" w:customStyle="1">
    <w:name w:val="Заголовок 4 Знак"/>
    <w:link w:val="910"/>
    <w:rPr>
      <w:rFonts w:ascii="Arial" w:hAnsi="Arial"/>
      <w:color w:val="000000"/>
      <w:sz w:val="28"/>
    </w:rPr>
  </w:style>
  <w:style w:type="character" w:styleId="922" w:customStyle="1">
    <w:name w:val="Заголовок 6 Знак"/>
    <w:link w:val="912"/>
    <w:rPr>
      <w:rFonts w:ascii="Arial" w:hAnsi="Arial"/>
      <w:i/>
      <w:sz w:val="22"/>
      <w:lang w:val="ru-RU" w:eastAsia="en-US" w:bidi="ar-SA"/>
    </w:rPr>
  </w:style>
  <w:style w:type="paragraph" w:styleId="923" w:customStyle="1">
    <w:name w:val="Таблица - наименование"/>
    <w:basedOn w:val="906"/>
    <w:qFormat/>
    <w:pPr>
      <w:jc w:val="left"/>
      <w:keepNext/>
      <w:spacing w:before="120"/>
    </w:pPr>
    <w:rPr>
      <w:color w:val="auto"/>
      <w:sz w:val="28"/>
    </w:rPr>
  </w:style>
  <w:style w:type="paragraph" w:styleId="924" w:customStyle="1">
    <w:name w:val="Пункт 2 уровня"/>
    <w:basedOn w:val="908"/>
    <w:link w:val="1000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925" w:customStyle="1">
    <w:name w:val="Пункт 3 уровня"/>
    <w:basedOn w:val="909"/>
    <w:link w:val="926"/>
    <w:pPr>
      <w:keepNext w:val="0"/>
      <w:spacing w:before="120"/>
    </w:pPr>
    <w:rPr>
      <w:rFonts w:ascii="Times New Roman" w:hAnsi="Times New Roman"/>
      <w:b w:val="0"/>
    </w:rPr>
  </w:style>
  <w:style w:type="character" w:styleId="926" w:customStyle="1">
    <w:name w:val="Пункт 3 уровня Знак"/>
    <w:link w:val="925"/>
    <w:rPr>
      <w:bCs/>
      <w:color w:val="000000"/>
      <w:sz w:val="28"/>
    </w:rPr>
  </w:style>
  <w:style w:type="paragraph" w:styleId="927" w:customStyle="1">
    <w:name w:val="Пункт 4 уровня"/>
    <w:basedOn w:val="910"/>
    <w:link w:val="928"/>
    <w:pPr>
      <w:spacing w:before="120"/>
    </w:pPr>
    <w:rPr>
      <w:rFonts w:ascii="Times New Roman" w:hAnsi="Times New Roman"/>
    </w:rPr>
  </w:style>
  <w:style w:type="character" w:styleId="928" w:customStyle="1">
    <w:name w:val="Пункт 4 уровня Знак"/>
    <w:basedOn w:val="921"/>
    <w:link w:val="927"/>
    <w:rPr>
      <w:rFonts w:ascii="Arial" w:hAnsi="Arial"/>
      <w:color w:val="000000"/>
      <w:sz w:val="28"/>
    </w:rPr>
  </w:style>
  <w:style w:type="character" w:styleId="929">
    <w:name w:val="FollowedHyperlink"/>
    <w:rPr>
      <w:color w:val="800080"/>
      <w:u w:val="single"/>
    </w:rPr>
  </w:style>
  <w:style w:type="paragraph" w:styleId="930">
    <w:name w:val="Header"/>
    <w:basedOn w:val="906"/>
  </w:style>
  <w:style w:type="character" w:styleId="931">
    <w:name w:val="Hyperlink"/>
    <w:uiPriority w:val="99"/>
    <w:rPr>
      <w:color w:val="0000ff"/>
      <w:u w:val="single"/>
    </w:rPr>
  </w:style>
  <w:style w:type="paragraph" w:styleId="932" w:customStyle="1">
    <w:name w:val="Заголовки без нумерации"/>
    <w:basedOn w:val="907"/>
    <w:next w:val="917"/>
    <w:pPr>
      <w:numPr>
        <w:ilvl w:val="0"/>
        <w:numId w:val="0"/>
      </w:numPr>
    </w:pPr>
  </w:style>
  <w:style w:type="paragraph" w:styleId="933">
    <w:name w:val="Footer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/>
    </w:rPr>
  </w:style>
  <w:style w:type="character" w:styleId="934">
    <w:name w:val="page number"/>
    <w:rPr>
      <w:iCs/>
      <w:sz w:val="28"/>
    </w:rPr>
  </w:style>
  <w:style w:type="paragraph" w:styleId="935">
    <w:name w:val="toc 4"/>
    <w:basedOn w:val="906"/>
    <w:next w:val="906"/>
    <w:semiHidden/>
    <w:pPr>
      <w:ind w:left="720"/>
    </w:pPr>
  </w:style>
  <w:style w:type="paragraph" w:styleId="936" w:customStyle="1">
    <w:name w:val="Таблица (10) - осн. текст"/>
    <w:basedOn w:val="906"/>
    <w:pPr>
      <w:ind w:firstLine="5"/>
      <w:jc w:val="left"/>
      <w:spacing w:after="60"/>
    </w:pPr>
    <w:rPr>
      <w:rFonts w:ascii="Arial" w:hAnsi="Arial"/>
      <w:sz w:val="20"/>
    </w:rPr>
  </w:style>
  <w:style w:type="paragraph" w:styleId="937" w:customStyle="1">
    <w:name w:val="Таблица (10) - список нум. 1"/>
    <w:basedOn w:val="936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938">
    <w:name w:val="toc 1"/>
    <w:basedOn w:val="906"/>
    <w:next w:val="906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auto"/>
      <w:sz w:val="28"/>
      <w:lang w:eastAsia="en-US"/>
    </w:rPr>
  </w:style>
  <w:style w:type="paragraph" w:styleId="939">
    <w:name w:val="toc 2"/>
    <w:basedOn w:val="906"/>
    <w:next w:val="906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auto"/>
      <w:sz w:val="28"/>
      <w:szCs w:val="24"/>
    </w:rPr>
  </w:style>
  <w:style w:type="paragraph" w:styleId="940">
    <w:name w:val="toc 3"/>
    <w:basedOn w:val="906"/>
    <w:next w:val="906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auto"/>
      <w:szCs w:val="24"/>
      <w:lang w:eastAsia="en-US"/>
    </w:rPr>
  </w:style>
  <w:style w:type="character" w:styleId="941" w:customStyle="1">
    <w:name w:val="Текст примечания Знак"/>
    <w:link w:val="942"/>
    <w:semiHidden/>
    <w:rPr>
      <w:color w:val="000000"/>
    </w:rPr>
  </w:style>
  <w:style w:type="paragraph" w:styleId="942">
    <w:name w:val="annotation text"/>
    <w:basedOn w:val="906"/>
    <w:link w:val="941"/>
    <w:semiHidden/>
    <w:rPr>
      <w:sz w:val="20"/>
    </w:rPr>
  </w:style>
  <w:style w:type="paragraph" w:styleId="943" w:customStyle="1">
    <w:name w:val="Список маркированный уровень 1"/>
    <w:basedOn w:val="906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auto"/>
      <w:sz w:val="28"/>
    </w:rPr>
  </w:style>
  <w:style w:type="paragraph" w:styleId="944" w:customStyle="1">
    <w:name w:val="Список маркированный уровень 2"/>
    <w:basedOn w:val="906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auto"/>
      <w:sz w:val="28"/>
    </w:rPr>
  </w:style>
  <w:style w:type="paragraph" w:styleId="945">
    <w:name w:val="Normal (Web)"/>
    <w:basedOn w:val="906"/>
    <w:rPr>
      <w:szCs w:val="24"/>
    </w:rPr>
  </w:style>
  <w:style w:type="paragraph" w:styleId="946" w:customStyle="1">
    <w:name w:val="Список нумерованный"/>
    <w:basedOn w:val="906"/>
    <w:next w:val="906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947" w:customStyle="1">
    <w:name w:val="Таблица (10) - сп.марк.ур.1"/>
    <w:basedOn w:val="936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948">
    <w:name w:val="footnote text"/>
    <w:basedOn w:val="906"/>
    <w:semiHidden/>
    <w:rPr>
      <w:rFonts w:ascii="Arial" w:hAnsi="Arial"/>
      <w:sz w:val="20"/>
    </w:rPr>
  </w:style>
  <w:style w:type="character" w:styleId="949">
    <w:name w:val="footnote reference"/>
    <w:semiHidden/>
    <w:rPr>
      <w:vertAlign w:val="superscript"/>
    </w:rPr>
  </w:style>
  <w:style w:type="paragraph" w:styleId="950" w:customStyle="1">
    <w:name w:val="Таблица (10) - сп.марк.ур.2"/>
    <w:basedOn w:val="936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951" w:customStyle="1">
    <w:name w:val="Заголовок приложения"/>
    <w:basedOn w:val="907"/>
    <w:next w:val="906"/>
    <w:pPr>
      <w:numPr>
        <w:ilvl w:val="0"/>
        <w:numId w:val="0"/>
      </w:numPr>
      <w:jc w:val="right"/>
      <w:spacing w:before="0"/>
    </w:pPr>
  </w:style>
  <w:style w:type="paragraph" w:styleId="952">
    <w:name w:val="toc 5"/>
    <w:basedOn w:val="906"/>
    <w:next w:val="906"/>
    <w:semiHidden/>
    <w:pPr>
      <w:ind w:left="960"/>
    </w:pPr>
  </w:style>
  <w:style w:type="paragraph" w:styleId="953">
    <w:name w:val="toc 6"/>
    <w:basedOn w:val="906"/>
    <w:next w:val="906"/>
    <w:semiHidden/>
    <w:pPr>
      <w:ind w:left="1200"/>
    </w:pPr>
  </w:style>
  <w:style w:type="paragraph" w:styleId="954">
    <w:name w:val="toc 7"/>
    <w:basedOn w:val="906"/>
    <w:next w:val="906"/>
    <w:semiHidden/>
    <w:pPr>
      <w:ind w:left="1440"/>
    </w:pPr>
  </w:style>
  <w:style w:type="paragraph" w:styleId="955">
    <w:name w:val="toc 8"/>
    <w:basedOn w:val="906"/>
    <w:next w:val="906"/>
    <w:semiHidden/>
    <w:pPr>
      <w:ind w:left="1680"/>
    </w:pPr>
  </w:style>
  <w:style w:type="paragraph" w:styleId="956">
    <w:name w:val="toc 9"/>
    <w:basedOn w:val="906"/>
    <w:next w:val="906"/>
    <w:semiHidden/>
    <w:pPr>
      <w:ind w:left="1920"/>
    </w:pPr>
  </w:style>
  <w:style w:type="character" w:styleId="957">
    <w:name w:val="annotation reference"/>
    <w:uiPriority w:val="99"/>
    <w:semiHidden/>
    <w:rPr>
      <w:sz w:val="16"/>
      <w:szCs w:val="16"/>
    </w:rPr>
  </w:style>
  <w:style w:type="paragraph" w:styleId="958" w:customStyle="1">
    <w:name w:val="Основной текст (центр/одинарный)"/>
    <w:basedOn w:val="917"/>
    <w:link w:val="959"/>
    <w:pPr>
      <w:ind w:firstLine="0"/>
      <w:jc w:val="center"/>
      <w:spacing w:before="120" w:after="120"/>
    </w:pPr>
  </w:style>
  <w:style w:type="character" w:styleId="959" w:customStyle="1">
    <w:name w:val="Основной текст (центр/одинарный) Знак"/>
    <w:link w:val="958"/>
    <w:rPr>
      <w:color w:val="000000"/>
      <w:sz w:val="28"/>
    </w:rPr>
  </w:style>
  <w:style w:type="paragraph" w:styleId="960" w:customStyle="1">
    <w:name w:val="Список маркированный уровень 3"/>
    <w:basedOn w:val="906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961">
    <w:name w:val="Document Map"/>
    <w:basedOn w:val="906"/>
    <w:semiHidden/>
    <w:pPr>
      <w:shd w:val="clear" w:color="auto" w:fill="000080"/>
    </w:pPr>
    <w:rPr>
      <w:rFonts w:ascii="Tahoma" w:hAnsi="Tahoma" w:cs="Tahoma"/>
    </w:rPr>
  </w:style>
  <w:style w:type="paragraph" w:styleId="962" w:customStyle="1">
    <w:name w:val="Основной текст (без отступа)"/>
    <w:basedOn w:val="917"/>
    <w:pPr>
      <w:ind w:firstLine="0"/>
      <w:spacing w:before="120" w:after="120"/>
    </w:pPr>
  </w:style>
  <w:style w:type="paragraph" w:styleId="963">
    <w:name w:val="table of figures"/>
    <w:basedOn w:val="917"/>
    <w:next w:val="906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964" w:customStyle="1">
    <w:name w:val="Рисунок - наименование"/>
    <w:basedOn w:val="906"/>
    <w:pPr>
      <w:jc w:val="center"/>
      <w:spacing w:before="120" w:after="120"/>
    </w:pPr>
    <w:rPr>
      <w:bCs/>
      <w:sz w:val="28"/>
    </w:rPr>
  </w:style>
  <w:style w:type="paragraph" w:styleId="965" w:customStyle="1">
    <w:name w:val="Таблица (8) - осн. текст"/>
    <w:basedOn w:val="906"/>
    <w:pPr>
      <w:ind w:left="57" w:right="57"/>
      <w:jc w:val="left"/>
    </w:pPr>
    <w:rPr>
      <w:rFonts w:ascii="Arial" w:hAnsi="Arial" w:cs="Arial"/>
      <w:sz w:val="16"/>
    </w:rPr>
  </w:style>
  <w:style w:type="paragraph" w:styleId="966">
    <w:name w:val="Balloon Text"/>
    <w:basedOn w:val="906"/>
    <w:semiHidden/>
    <w:rPr>
      <w:rFonts w:ascii="Tahoma" w:hAnsi="Tahoma" w:cs="Tahoma"/>
      <w:sz w:val="16"/>
      <w:szCs w:val="16"/>
    </w:rPr>
  </w:style>
  <w:style w:type="paragraph" w:styleId="967" w:customStyle="1">
    <w:name w:val="Титульный лист - текст"/>
    <w:link w:val="997"/>
    <w:rPr>
      <w:sz w:val="28"/>
    </w:rPr>
  </w:style>
  <w:style w:type="paragraph" w:styleId="968" w:customStyle="1">
    <w:name w:val="Список общий (ручная нумерация)"/>
    <w:basedOn w:val="917"/>
    <w:next w:val="906"/>
    <w:pPr>
      <w:ind w:left="851" w:hanging="284"/>
      <w:spacing w:before="120" w:after="120"/>
    </w:pPr>
  </w:style>
  <w:style w:type="paragraph" w:styleId="969">
    <w:name w:val="annotation subject"/>
    <w:basedOn w:val="942"/>
    <w:next w:val="942"/>
    <w:semiHidden/>
    <w:rPr>
      <w:b/>
      <w:bCs/>
    </w:rPr>
  </w:style>
  <w:style w:type="paragraph" w:styleId="970" w:customStyle="1">
    <w:name w:val="Нумерация"/>
    <w:basedOn w:val="906"/>
    <w:pPr>
      <w:numPr>
        <w:ilvl w:val="0"/>
        <w:numId w:val="10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auto"/>
    </w:rPr>
  </w:style>
  <w:style w:type="paragraph" w:styleId="971" w:customStyle="1">
    <w:name w:val="Пункт 3 уровня без нумерации"/>
    <w:basedOn w:val="925"/>
    <w:pPr>
      <w:numPr>
        <w:ilvl w:val="0"/>
        <w:numId w:val="0"/>
      </w:numPr>
      <w:ind w:firstLine="567"/>
    </w:pPr>
  </w:style>
  <w:style w:type="paragraph" w:styleId="972">
    <w:name w:val="index 1"/>
    <w:basedOn w:val="906"/>
    <w:next w:val="906"/>
    <w:semiHidden/>
    <w:pPr>
      <w:ind w:left="240" w:hanging="240"/>
    </w:pPr>
  </w:style>
  <w:style w:type="character" w:styleId="973" w:customStyle="1">
    <w:name w:val="Нижний колонтитул Знак"/>
    <w:semiHidden/>
    <w:rPr>
      <w:sz w:val="24"/>
      <w:szCs w:val="24"/>
      <w:lang w:eastAsia="en-US"/>
    </w:rPr>
  </w:style>
  <w:style w:type="table" w:styleId="974">
    <w:name w:val="Table Grid"/>
    <w:basedOn w:val="915"/>
    <w:uiPriority w:val="39"/>
    <w:pPr>
      <w:ind w:firstLine="567"/>
      <w:jc w:val="both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75" w:customStyle="1">
    <w:name w:val="Титльный лист - заголовок документа"/>
    <w:basedOn w:val="906"/>
    <w:pPr>
      <w:jc w:val="center"/>
    </w:pPr>
    <w:rPr>
      <w:rFonts w:ascii="Arial" w:hAnsi="Arial"/>
      <w:b/>
      <w:sz w:val="36"/>
    </w:rPr>
  </w:style>
  <w:style w:type="paragraph" w:styleId="976" w:customStyle="1">
    <w:name w:val="Титульный лист - название документа"/>
    <w:basedOn w:val="975"/>
    <w:link w:val="980"/>
    <w:rPr>
      <w:b w:val="0"/>
    </w:rPr>
  </w:style>
  <w:style w:type="paragraph" w:styleId="977">
    <w:name w:val="endnote text"/>
    <w:basedOn w:val="906"/>
    <w:link w:val="978"/>
    <w:rPr>
      <w:sz w:val="20"/>
    </w:rPr>
  </w:style>
  <w:style w:type="character" w:styleId="978" w:customStyle="1">
    <w:name w:val="Текст концевой сноски Знак"/>
    <w:link w:val="977"/>
    <w:rPr>
      <w:color w:val="000000"/>
    </w:rPr>
  </w:style>
  <w:style w:type="character" w:styleId="979">
    <w:name w:val="endnote reference"/>
    <w:rPr>
      <w:vertAlign w:val="superscript"/>
    </w:rPr>
  </w:style>
  <w:style w:type="character" w:styleId="980" w:customStyle="1">
    <w:name w:val="Титульный лист - название документа Знак"/>
    <w:link w:val="976"/>
    <w:rPr>
      <w:rFonts w:ascii="Arial" w:hAnsi="Arial"/>
      <w:color w:val="000000"/>
      <w:sz w:val="32"/>
    </w:rPr>
  </w:style>
  <w:style w:type="paragraph" w:styleId="981" w:customStyle="1">
    <w:name w:val="Таблица (12) - Заголовки"/>
    <w:basedOn w:val="962"/>
    <w:qFormat/>
    <w:pPr>
      <w:jc w:val="left"/>
      <w:spacing w:before="60" w:after="60"/>
    </w:pPr>
    <w:rPr>
      <w:rFonts w:ascii="Arial" w:hAnsi="Arial" w:cs="Arial"/>
      <w:b/>
    </w:rPr>
  </w:style>
  <w:style w:type="paragraph" w:styleId="982" w:customStyle="1">
    <w:name w:val="Таблица (12) - осн. текст"/>
    <w:basedOn w:val="962"/>
    <w:qFormat/>
    <w:pPr>
      <w:jc w:val="left"/>
      <w:spacing w:before="60" w:after="60"/>
    </w:pPr>
    <w:rPr>
      <w:sz w:val="24"/>
    </w:rPr>
  </w:style>
  <w:style w:type="table" w:styleId="983" w:customStyle="1">
    <w:name w:val="Таблица (12)"/>
    <w:basedOn w:val="915"/>
    <w:rPr>
      <w:sz w:val="24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57" w:type="dxa"/>
        <w:top w:w="57" w:type="dxa"/>
        <w:right w:w="57" w:type="dxa"/>
        <w:bottom w:w="57" w:type="dxa"/>
      </w:tblCellMar>
    </w:tblPr>
    <w:tcPr>
      <w:vAlign w:val="center"/>
    </w:tcPr>
    <w:tblStylePr w:type="firstRow">
      <w:rPr>
        <w:rFonts w:ascii="Times New Roman" w:hAnsi="Times New Roman"/>
        <w:b/>
        <w:i w:val="0"/>
        <w:sz w:val="24"/>
      </w:rPr>
      <w:pPr>
        <w:jc w:val="left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</w:style>
  <w:style w:type="table" w:styleId="984">
    <w:name w:val="Table Elegant"/>
    <w:basedOn w:val="915"/>
    <w:pPr>
      <w:jc w:val="both"/>
    </w:p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985">
    <w:name w:val="Table Web 1"/>
    <w:basedOn w:val="915"/>
    <w:pPr>
      <w:jc w:val="both"/>
    </w:pPr>
    <w:tblPr>
      <w:tblCellSpacing w:w="2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986">
    <w:name w:val="Light List"/>
    <w:basedOn w:val="915"/>
    <w:uiPriority w:val="61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pPr>
        <w:spacing w:before="0" w:after="0" w:line="240" w:lineRule="auto"/>
      </w:pPr>
      <w:tcPr>
        <w:shd w:val="clear" w:color="auto" w:fill="000000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styleId="987" w:customStyle="1">
    <w:name w:val="Выделение жирным шрифтом"/>
    <w:qFormat/>
    <w:rPr>
      <w:b/>
    </w:rPr>
  </w:style>
  <w:style w:type="character" w:styleId="988" w:customStyle="1">
    <w:name w:val="Выделение курсивом"/>
    <w:qFormat/>
    <w:rPr>
      <w:i/>
    </w:rPr>
  </w:style>
  <w:style w:type="character" w:styleId="989" w:customStyle="1">
    <w:name w:val="Выделение подчеркиванием"/>
    <w:qFormat/>
    <w:rPr>
      <w:u w:val="single"/>
    </w:rPr>
  </w:style>
  <w:style w:type="paragraph" w:styleId="990">
    <w:name w:val="List Paragraph"/>
    <w:basedOn w:val="906"/>
    <w:uiPriority w:val="34"/>
    <w:qFormat/>
    <w:pPr>
      <w:ind w:left="708"/>
    </w:pPr>
    <w:rPr>
      <w:sz w:val="28"/>
    </w:rPr>
  </w:style>
  <w:style w:type="character" w:styleId="991" w:customStyle="1">
    <w:name w:val="Заголовок 2 Знак"/>
    <w:link w:val="908"/>
    <w:rPr>
      <w:rFonts w:ascii="Arial" w:hAnsi="Arial"/>
      <w:b/>
      <w:bCs/>
      <w:color w:val="000000"/>
      <w:sz w:val="32"/>
    </w:rPr>
  </w:style>
  <w:style w:type="paragraph" w:styleId="992">
    <w:name w:val="Caption"/>
    <w:basedOn w:val="906"/>
    <w:next w:val="906"/>
    <w:rPr>
      <w:bCs/>
      <w:sz w:val="28"/>
    </w:rPr>
  </w:style>
  <w:style w:type="character" w:styleId="993" w:customStyle="1">
    <w:name w:val="я_Технический стиль 1 Знак"/>
    <w:link w:val="994"/>
    <w:rPr>
      <w:rFonts w:ascii="Arial" w:hAnsi="Arial" w:cs="Arial"/>
      <w:b/>
      <w:bCs/>
      <w:color w:val="000000"/>
      <w:sz w:val="24"/>
      <w:szCs w:val="24"/>
    </w:rPr>
  </w:style>
  <w:style w:type="paragraph" w:styleId="994" w:customStyle="1">
    <w:name w:val="я_Технический стиль 1"/>
    <w:basedOn w:val="906"/>
    <w:link w:val="993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995" w:customStyle="1">
    <w:name w:val="я_Технический стиль 2"/>
    <w:basedOn w:val="967"/>
    <w:link w:val="998"/>
    <w:qFormat/>
    <w:rPr>
      <w:rFonts w:cs="Arial"/>
      <w:u w:val="single"/>
    </w:rPr>
  </w:style>
  <w:style w:type="paragraph" w:styleId="996" w:customStyle="1">
    <w:name w:val="я_Технический стиль 3"/>
    <w:basedOn w:val="967"/>
    <w:link w:val="999"/>
    <w:qFormat/>
    <w:rPr>
      <w:rFonts w:ascii="Arial" w:hAnsi="Arial" w:cs="Arial"/>
      <w:b/>
    </w:rPr>
  </w:style>
  <w:style w:type="character" w:styleId="997" w:customStyle="1">
    <w:name w:val="Титульный лист - текст Знак"/>
    <w:link w:val="967"/>
    <w:rPr>
      <w:sz w:val="28"/>
    </w:rPr>
  </w:style>
  <w:style w:type="character" w:styleId="998" w:customStyle="1">
    <w:name w:val="я_Технический стиль 2 Знак"/>
    <w:link w:val="995"/>
    <w:rPr>
      <w:rFonts w:cs="Arial"/>
      <w:sz w:val="24"/>
      <w:u w:val="single"/>
    </w:rPr>
  </w:style>
  <w:style w:type="character" w:styleId="999" w:customStyle="1">
    <w:name w:val="я_Технический стиль 3 Знак"/>
    <w:link w:val="996"/>
    <w:rPr>
      <w:rFonts w:ascii="Arial" w:hAnsi="Arial" w:cs="Arial"/>
      <w:b/>
      <w:sz w:val="24"/>
    </w:rPr>
  </w:style>
  <w:style w:type="character" w:styleId="1000" w:customStyle="1">
    <w:name w:val="Пункт 2 уровня Знак"/>
    <w:link w:val="924"/>
    <w:rPr>
      <w:rFonts w:ascii="Arial" w:hAnsi="Arial"/>
      <w:b w:val="0"/>
      <w:bCs/>
      <w:color w:val="000000"/>
      <w:sz w:val="28"/>
    </w:rPr>
  </w:style>
  <w:style w:type="character" w:styleId="1001" w:customStyle="1">
    <w:name w:val="Выделение цветом (желтый)"/>
    <w:qFormat/>
    <w:rPr>
      <w:shd w:val="clear" w:color="auto" w:fill="ffff00"/>
    </w:rPr>
  </w:style>
  <w:style w:type="paragraph" w:styleId="1002" w:customStyle="1">
    <w:name w:val="_GOST_Normal"/>
    <w:pPr>
      <w:contextualSpacing/>
      <w:ind w:firstLine="567"/>
      <w:jc w:val="both"/>
      <w:spacing w:before="120" w:after="60"/>
    </w:pPr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BA6F4-31D2-4D7A-9C87-F243C8F1CB7C}">
  <ds:schemaRefs>
    <ds:schemaRef ds:uri="http://schemas.microsoft.com/office/2006/metadata/properties"/>
    <ds:schemaRef ds:uri="http://schemas.microsoft.com/office/infopath/2007/PartnerControls"/>
    <ds:schemaRef ds:uri="7963508c-c23e-4e15-b9d8-258925b385a4"/>
    <ds:schemaRef ds:uri="f38f20b2-d46c-43ff-8764-f543badc1528"/>
  </ds:schemaRefs>
</ds:datastoreItem>
</file>

<file path=customXml/itemProps2.xml><?xml version="1.0" encoding="utf-8"?>
<ds:datastoreItem xmlns:ds="http://schemas.openxmlformats.org/officeDocument/2006/customXml" ds:itemID="{D13F7732-6149-4D7E-9C62-ED8D4B536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EFF14-4D30-45E7-977F-E1F59B0D0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508c-c23e-4e15-b9d8-258925b385a4"/>
    <ds:schemaRef ds:uri="f38f20b2-d46c-43ff-8764-f543badc15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F623F7-FBB4-4886-9810-907AE52B7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revision>4</cp:revision>
  <dcterms:created xsi:type="dcterms:W3CDTF">2023-04-28T09:07:00Z</dcterms:created>
  <dcterms:modified xsi:type="dcterms:W3CDTF">2023-12-06T13:40:07Z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